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Pr>
        <w:spacing w:after="120"/>
        <w:jc w:val="center"/>
      </w:pPr>
      <w:r>
        <w:drawing>
          <wp:inline xmlns:a="http://schemas.openxmlformats.org/drawingml/2006/main" xmlns:pic="http://schemas.openxmlformats.org/drawingml/2006/picture">
            <wp:extent cx="2592000" cy="1413703"/>
            <wp:docPr id="1" name="Picture 1"/>
            <wp:cNvGraphicFramePr>
              <a:graphicFrameLocks noChangeAspect="1"/>
            </wp:cNvGraphicFramePr>
            <a:graphic>
              <a:graphicData uri="http://schemas.openxmlformats.org/drawingml/2006/picture">
                <pic:pic>
                  <pic:nvPicPr>
                    <pic:cNvPr id="0" name="logo KIN(1).png"/>
                    <pic:cNvPicPr/>
                  </pic:nvPicPr>
                  <pic:blipFill>
                    <a:blip r:embed="rId9"/>
                    <a:stretch>
                      <a:fillRect/>
                    </a:stretch>
                  </pic:blipFill>
                  <pic:spPr>
                    <a:xfrm>
                      <a:off x="0" y="0"/>
                      <a:ext cx="2592000" cy="1413703"/>
                    </a:xfrm>
                    <a:prstGeom prst="rect"/>
                  </pic:spPr>
                </pic:pic>
              </a:graphicData>
            </a:graphic>
          </wp:inline>
        </w:drawing>
      </w:r>
    </w:p>
    <w:p>
      <w:pPr>
        <w:spacing w:before="0" w:after="0"/>
        <w:jc w:val="center"/>
      </w:pPr>
      <w:r>
        <w:rPr>
          <w:rFonts w:ascii="Times New Roman" w:hAnsi="Times New Roman" w:eastAsia="Times New Roman"/>
          <w:b/>
          <w:i w:val="0"/>
          <w:color w:val="004D56"/>
          <w:sz w:val="32"/>
        </w:rPr>
        <w:t>ANGGARAN DASAR DAN ANGGARAN RUMAH TANGGA</w:t>
      </w:r>
    </w:p>
    <w:p>
      <w:pPr>
        <w:spacing w:before="0" w:after="0"/>
        <w:jc w:val="center"/>
      </w:pPr>
      <w:r>
        <w:rPr>
          <w:rFonts w:ascii="Times New Roman" w:hAnsi="Times New Roman" w:eastAsia="Times New Roman"/>
          <w:b/>
          <w:i w:val="0"/>
          <w:color w:val="172B33"/>
          <w:sz w:val="26"/>
        </w:rPr>
        <w:t>LEMBAGA KEMANUSIAAN</w:t>
      </w:r>
    </w:p>
    <w:p>
      <w:pPr>
        <w:spacing w:before="0" w:after="0"/>
        <w:jc w:val="center"/>
      </w:pPr>
      <w:r>
        <w:rPr>
          <w:rFonts w:ascii="Times New Roman" w:hAnsi="Times New Roman" w:eastAsia="Times New Roman"/>
          <w:b/>
          <w:i w:val="0"/>
          <w:color w:val="004D56"/>
          <w:sz w:val="34"/>
        </w:rPr>
        <w:t>KARSA INKLUSI NUSANTARA (KIN)</w:t>
      </w:r>
    </w:p>
    <w:p>
      <w:pPr>
        <w:spacing w:before="0" w:after="40"/>
        <w:jc w:val="center"/>
      </w:pPr>
      <w:r>
        <w:rPr>
          <w:rFonts w:ascii="Times New Roman" w:hAnsi="Times New Roman" w:eastAsia="Times New Roman"/>
          <w:b w:val="0"/>
          <w:i w:val="0"/>
          <w:color w:val="697177"/>
          <w:sz w:val="21"/>
        </w:rPr>
        <w:t>Pemberdayaan Pendidikan Khusus dan Aksi Kemanusiaan Inklusif</w:t>
      </w:r>
    </w:p>
    <w:p>
      <w:pPr>
        <w:spacing w:before="200" w:after="200"/>
        <w:jc w:val="center"/>
      </w:pPr>
      <w:r>
        <w:rPr>
          <w:rFonts w:ascii="Times New Roman" w:hAnsi="Times New Roman" w:eastAsia="Times New Roman"/>
          <w:b w:val="0"/>
          <w:i/>
          <w:color w:val="697177"/>
          <w:sz w:val="21"/>
        </w:rPr>
        <w:t>Ditetapkan di Palembang pada tanggal 11 Mei 2026</w:t>
      </w:r>
    </w:p>
    <w:p>
      <w:pPr>
        <w:pBdr>
          <w:bottom w:val="single" w:sz="12" w:space="1" w:color="004D56"/>
        </w:pBdr>
      </w:pPr>
    </w:p>
    <w:p/>
    <w:tbl>
      <w:tblPr>
        <w:tblStyle w:val="TableGrid"/>
        <w:tblW w:type="auto" w:w="0"/>
        <w:jc w:val="center"/>
        <w:tblLayout w:type="fixed"/>
        <w:tblLook w:firstColumn="1" w:firstRow="1" w:lastColumn="0" w:lastRow="0" w:noHBand="0" w:noVBand="1" w:val="04A0"/>
      </w:tblPr>
      <w:tblGrid>
        <w:gridCol w:w="4816"/>
        <w:gridCol w:w="4816"/>
      </w:tblGrid>
      <w:tr>
        <w:tc>
          <w:tcPr>
            <w:tcW w:type="dxa" w:w="2381"/>
            <w:shd w:fill="004D56"/>
            <w:vAlign w:val="center"/>
            <w:tcBorders>
              <w:top w:sz="3" w:val="single" w:color="D8E4E5"/>
              <w:left w:sz="3" w:val="single" w:color="D8E4E5"/>
              <w:bottom w:sz="3" w:val="single" w:color="D8E4E5"/>
              <w:right w:sz="3" w:val="single" w:color="D8E4E5"/>
            </w:tcBorders>
          </w:tcPr>
          <w:p>
            <w:pPr>
              <w:jc w:val="center"/>
            </w:pPr>
            <w:r>
              <w:rPr>
                <w:rFonts w:ascii="Times New Roman" w:hAnsi="Times New Roman" w:eastAsia="Times New Roman"/>
                <w:b/>
                <w:i w:val="0"/>
                <w:color w:val="FFFFFF"/>
                <w:sz w:val="19"/>
              </w:rPr>
              <w:t>Elemen</w:t>
            </w:r>
          </w:p>
        </w:tc>
        <w:tc>
          <w:tcPr>
            <w:tcW w:type="dxa" w:w="6803"/>
            <w:shd w:fill="004D56"/>
            <w:vAlign w:val="center"/>
            <w:tcBorders>
              <w:top w:sz="3" w:val="single" w:color="D8E4E5"/>
              <w:left w:sz="3" w:val="single" w:color="D8E4E5"/>
              <w:bottom w:sz="3" w:val="single" w:color="D8E4E5"/>
              <w:right w:sz="3" w:val="single" w:color="D8E4E5"/>
            </w:tcBorders>
          </w:tcPr>
          <w:p>
            <w:pPr>
              <w:jc w:val="center"/>
            </w:pPr>
            <w:r>
              <w:rPr>
                <w:rFonts w:ascii="Times New Roman" w:hAnsi="Times New Roman" w:eastAsia="Times New Roman"/>
                <w:b/>
                <w:i w:val="0"/>
                <w:color w:val="FFFFFF"/>
                <w:sz w:val="19"/>
              </w:rPr>
              <w:t>Keterangan</w:t>
            </w:r>
          </w:p>
        </w:tc>
      </w:tr>
      <w:tr>
        <w:tc>
          <w:tcPr>
            <w:tcW w:type="dxa" w:w="4816"/>
            <w:shd w:fill="E8F2F3"/>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i w:val="0"/>
                <w:color w:val="004D56"/>
                <w:sz w:val="18"/>
              </w:rPr>
              <w:t>Nama Dokumen</w:t>
            </w:r>
          </w:p>
        </w:tc>
        <w:tc>
          <w:tcPr>
            <w:tcW w:type="dxa" w:w="4816"/>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val="0"/>
                <w:i w:val="0"/>
                <w:color w:val="172B33"/>
                <w:sz w:val="18"/>
              </w:rPr>
              <w:t>Anggaran Dasar dan Anggaran Rumah Tangga (AD/ART)</w:t>
            </w:r>
          </w:p>
        </w:tc>
      </w:tr>
      <w:tr>
        <w:tc>
          <w:tcPr>
            <w:tcW w:type="dxa" w:w="4816"/>
            <w:shd w:fill="E8F2F3"/>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i w:val="0"/>
                <w:color w:val="004D56"/>
                <w:sz w:val="18"/>
              </w:rPr>
              <w:t>Nama Lembaga</w:t>
            </w:r>
          </w:p>
        </w:tc>
        <w:tc>
          <w:tcPr>
            <w:tcW w:type="dxa" w:w="4816"/>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val="0"/>
                <w:i w:val="0"/>
                <w:color w:val="172B33"/>
                <w:sz w:val="18"/>
              </w:rPr>
              <w:t>Karsa Inklusi Nusantara (KIN)</w:t>
            </w:r>
          </w:p>
        </w:tc>
      </w:tr>
      <w:tr>
        <w:tc>
          <w:tcPr>
            <w:tcW w:type="dxa" w:w="4816"/>
            <w:shd w:fill="E8F2F3"/>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i w:val="0"/>
                <w:color w:val="004D56"/>
                <w:sz w:val="18"/>
              </w:rPr>
              <w:t>Fokus Lembaga</w:t>
            </w:r>
          </w:p>
        </w:tc>
        <w:tc>
          <w:tcPr>
            <w:tcW w:type="dxa" w:w="4816"/>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val="0"/>
                <w:i w:val="0"/>
                <w:color w:val="172B33"/>
                <w:sz w:val="18"/>
              </w:rPr>
              <w:t>Pemberdayaan pendidikan khusus, pendampingan Anak Berkebutuhan Khusus (ABK), dan aksi kemanusiaan inklusif</w:t>
            </w:r>
          </w:p>
        </w:tc>
      </w:tr>
      <w:tr>
        <w:tc>
          <w:tcPr>
            <w:tcW w:type="dxa" w:w="4816"/>
            <w:shd w:fill="E8F2F3"/>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i w:val="0"/>
                <w:color w:val="004D56"/>
                <w:sz w:val="18"/>
              </w:rPr>
              <w:t>Sekretariat</w:t>
            </w:r>
          </w:p>
        </w:tc>
        <w:tc>
          <w:tcPr>
            <w:tcW w:type="dxa" w:w="4816"/>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val="0"/>
                <w:i w:val="0"/>
                <w:color w:val="172B33"/>
                <w:sz w:val="18"/>
              </w:rPr>
              <w:t>Jl. Raya Palembang - Prabumulih, Sumatera Selatan</w:t>
            </w:r>
          </w:p>
        </w:tc>
      </w:tr>
      <w:tr>
        <w:tc>
          <w:tcPr>
            <w:tcW w:type="dxa" w:w="4816"/>
            <w:shd w:fill="E8F2F3"/>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i w:val="0"/>
                <w:color w:val="004D56"/>
                <w:sz w:val="18"/>
              </w:rPr>
              <w:t>Email</w:t>
            </w:r>
          </w:p>
        </w:tc>
        <w:tc>
          <w:tcPr>
            <w:tcW w:type="dxa" w:w="4816"/>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val="0"/>
                <w:i w:val="0"/>
                <w:color w:val="172B33"/>
                <w:sz w:val="18"/>
              </w:rPr>
              <w:t>secretariat@kin-nusantara.org</w:t>
            </w:r>
          </w:p>
        </w:tc>
      </w:tr>
      <w:tr>
        <w:tc>
          <w:tcPr>
            <w:tcW w:type="dxa" w:w="4816"/>
            <w:shd w:fill="E8F2F3"/>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i w:val="0"/>
                <w:color w:val="004D56"/>
                <w:sz w:val="18"/>
              </w:rPr>
              <w:t>Tanggal Penetapan</w:t>
            </w:r>
          </w:p>
        </w:tc>
        <w:tc>
          <w:tcPr>
            <w:tcW w:type="dxa" w:w="4816"/>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val="0"/>
                <w:i w:val="0"/>
                <w:color w:val="172B33"/>
                <w:sz w:val="18"/>
              </w:rPr>
              <w:t>11 Mei 2026</w:t>
            </w:r>
          </w:p>
        </w:tc>
      </w:tr>
      <w:tr>
        <w:tc>
          <w:tcPr>
            <w:tcW w:type="dxa" w:w="4816"/>
            <w:shd w:fill="E8F2F3"/>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i w:val="0"/>
                <w:color w:val="004D56"/>
                <w:sz w:val="18"/>
              </w:rPr>
              <w:t>Status Dokumen</w:t>
            </w:r>
          </w:p>
        </w:tc>
        <w:tc>
          <w:tcPr>
            <w:tcW w:type="dxa" w:w="4816"/>
            <w:vAlign w:val="center"/>
            <w:tcBorders>
              <w:top w:sz="3" w:val="single" w:color="D8E4E5"/>
              <w:left w:sz="3" w:val="single" w:color="D8E4E5"/>
              <w:bottom w:sz="3" w:val="single" w:color="D8E4E5"/>
              <w:right w:sz="3" w:val="single" w:color="D8E4E5"/>
            </w:tcBorders>
          </w:tcPr>
          <w:p>
            <w:pPr>
              <w:spacing w:before="0" w:after="0" w:line="245" w:lineRule="auto"/>
            </w:pPr>
            <w:r>
              <w:rPr>
                <w:rFonts w:ascii="Times New Roman" w:hAnsi="Times New Roman" w:eastAsia="Times New Roman"/>
                <w:b w:val="0"/>
                <w:i w:val="0"/>
                <w:color w:val="172B33"/>
                <w:sz w:val="18"/>
              </w:rPr>
              <w:t>Final - siap ditandatangani</w:t>
            </w:r>
          </w:p>
        </w:tc>
      </w:tr>
    </w:tbl>
    <w:p>
      <w:r>
        <w:br w:type="page"/>
      </w:r>
    </w:p>
    <w:p>
      <w:pPr>
        <w:spacing w:after="20"/>
        <w:jc w:val="center"/>
      </w:pPr>
      <w:r>
        <w:drawing>
          <wp:inline xmlns:a="http://schemas.openxmlformats.org/drawingml/2006/main" xmlns:pic="http://schemas.openxmlformats.org/drawingml/2006/picture">
            <wp:extent cx="1440000" cy="785391"/>
            <wp:docPr id="2" name="Picture 2"/>
            <wp:cNvGraphicFramePr>
              <a:graphicFrameLocks noChangeAspect="1"/>
            </wp:cNvGraphicFramePr>
            <a:graphic>
              <a:graphicData uri="http://schemas.openxmlformats.org/drawingml/2006/picture">
                <pic:pic>
                  <pic:nvPicPr>
                    <pic:cNvPr id="0" name="logo KIN(1).png"/>
                    <pic:cNvPicPr/>
                  </pic:nvPicPr>
                  <pic:blipFill>
                    <a:blip r:embed="rId9"/>
                    <a:stretch>
                      <a:fillRect/>
                    </a:stretch>
                  </pic:blipFill>
                  <pic:spPr>
                    <a:xfrm>
                      <a:off x="0" y="0"/>
                      <a:ext cx="1440000" cy="785391"/>
                    </a:xfrm>
                    <a:prstGeom prst="rect"/>
                  </pic:spPr>
                </pic:pic>
              </a:graphicData>
            </a:graphic>
          </wp:inline>
        </w:drawing>
      </w:r>
    </w:p>
    <w:p>
      <w:pPr>
        <w:spacing w:before="0" w:after="0"/>
        <w:jc w:val="center"/>
      </w:pPr>
      <w:r>
        <w:rPr>
          <w:rFonts w:ascii="Times New Roman" w:hAnsi="Times New Roman" w:eastAsia="Times New Roman"/>
          <w:b/>
          <w:i w:val="0"/>
          <w:color w:val="004D56"/>
          <w:sz w:val="27"/>
        </w:rPr>
        <w:t>KARSA INKLUSI NUSANTARA (KIN)</w:t>
      </w:r>
    </w:p>
    <w:p>
      <w:pPr>
        <w:spacing w:before="0" w:after="0"/>
        <w:jc w:val="center"/>
      </w:pPr>
      <w:r>
        <w:rPr>
          <w:rFonts w:ascii="Times New Roman" w:hAnsi="Times New Roman" w:eastAsia="Times New Roman"/>
          <w:b w:val="0"/>
          <w:i w:val="0"/>
          <w:color w:val="697177"/>
          <w:sz w:val="17"/>
        </w:rPr>
        <w:t>Sekretariat: Jl. Raya Palembang - Prabumulih, Sumatera Selatan | Email: secretariat@kin-nusantara.org</w:t>
      </w:r>
    </w:p>
    <w:p>
      <w:pPr>
        <w:pBdr>
          <w:bottom w:val="single" w:sz="10" w:space="1" w:color="004D56"/>
        </w:pBdr>
        <w:spacing w:after="200"/>
      </w:pPr>
    </w:p>
    <w:p>
      <w:pPr>
        <w:spacing w:before="160" w:after="80" w:line="252" w:lineRule="auto"/>
        <w:pBdr>
          <w:bottom w:val="single" w:sz="6" w:space="2" w:color="E09F2A"/>
        </w:pBdr>
        <w:keepNext/>
      </w:pPr>
      <w:r>
        <w:rPr>
          <w:rFonts w:ascii="Times New Roman" w:hAnsi="Times New Roman" w:eastAsia="Times New Roman"/>
          <w:b/>
          <w:i w:val="0"/>
          <w:color w:val="004D56"/>
          <w:sz w:val="24"/>
        </w:rPr>
        <w:t>DAFTAR ISI</w:t>
      </w:r>
    </w:p>
    <w:tbl>
      <w:tblPr>
        <w:tblW w:type="auto" w:w="0"/>
        <w:jc w:val="center"/>
        <w:tblLayout w:type="fixed"/>
        <w:tblLook w:firstColumn="1" w:firstRow="1" w:lastColumn="0" w:lastRow="0" w:noHBand="0" w:noVBand="1" w:val="04A0"/>
      </w:tblPr>
      <w:tblGrid>
        <w:gridCol w:w="4816"/>
        <w:gridCol w:w="4816"/>
      </w:tblGrid>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Mukadimah</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Anggaran Dasar (AD)</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I - Nama, Waktu, dan Kedudukan</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II - Asas, Sifat, dan Bentuk</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III - Visi, Misi, Nilai, Tujuan, dan Ruang Lingkup</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IV - Struktur Organisasi dan Kepengurusan</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V - Keanggotaan, Relawan, dan Penerima Manfaat</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VI - Keuangan, Kekayaan, dan Akuntabilitas</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VII - Perubahan AD/ART, Pembubaran, dan Ketentuan Penutup</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Anggaran Rumah Tangga (ART)</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I - Ketentuan Umum</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II - Rekrutmen, Relawan, dan Hybrid Node</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III - Tugas, Wewenang, dan Tata Kerja Pengurus</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IV - Pelaksanaan Program, Monev, dan Pelaporan</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V - Rapat dan Pengambilan Keputusan</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VI - Tata Kelola Keuangan dan Administrasi</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VII - Kode Etik, Perlindungan Anak, dan Data</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BAB VIII - Ketentuan Tambahan dan Penutup</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r>
        <w:tc>
          <w:tcPr>
            <w:tcW w:type="dxa" w:w="7824"/>
            <w:tcBorders>
              <w:top w:val="nil"/>
              <w:bottom w:val="nil"/>
              <w:left w:val="nil"/>
              <w:right w:val="nil"/>
              <w:insideH w:val="nil"/>
              <w:insideV w:val="nil"/>
            </w:tcBorders>
          </w:tcPr>
          <w:p>
            <w:pPr>
              <w:spacing w:before="0" w:after="20" w:line="240" w:lineRule="auto"/>
            </w:pPr>
            <w:r>
              <w:rPr>
                <w:rFonts w:ascii="Times New Roman" w:hAnsi="Times New Roman" w:eastAsia="Times New Roman"/>
                <w:b w:val="0"/>
                <w:i w:val="0"/>
                <w:color w:val="172B33"/>
                <w:sz w:val="19"/>
              </w:rPr>
              <w:t>Lembar Pengesahan</w:t>
            </w:r>
          </w:p>
        </w:tc>
        <w:tc>
          <w:tcPr>
            <w:tcW w:type="dxa" w:w="1247"/>
            <w:tcBorders>
              <w:top w:val="nil"/>
              <w:bottom w:val="nil"/>
              <w:left w:val="nil"/>
              <w:right w:val="nil"/>
              <w:insideH w:val="nil"/>
              <w:insideV w:val="nil"/>
            </w:tcBorders>
          </w:tcPr>
          <w:p>
            <w:pPr>
              <w:spacing w:before="0" w:after="20" w:line="240" w:lineRule="auto"/>
              <w:jc w:val="right"/>
            </w:pPr>
            <w:r>
              <w:rPr>
                <w:rFonts w:ascii="Times New Roman" w:hAnsi="Times New Roman" w:eastAsia="Times New Roman"/>
                <w:b w:val="0"/>
                <w:i w:val="0"/>
                <w:color w:val="697177"/>
                <w:sz w:val="19"/>
              </w:rPr>
            </w:r>
          </w:p>
        </w:tc>
      </w:tr>
    </w:tbl>
    <w:p>
      <w:r>
        <w:br w:type="page"/>
      </w:r>
    </w:p>
    <w:p>
      <w:pPr>
        <w:spacing w:before="60" w:after="40"/>
        <w:jc w:val="center"/>
        <w:pBdr>
          <w:bottom w:val="single" w:sz="8" w:space="3" w:color="E09F2A"/>
        </w:pBdr>
      </w:pPr>
      <w:r>
        <w:rPr>
          <w:rFonts w:ascii="Times New Roman" w:hAnsi="Times New Roman" w:eastAsia="Times New Roman"/>
          <w:b/>
          <w:i w:val="0"/>
          <w:color w:val="004D56"/>
          <w:sz w:val="30"/>
        </w:rPr>
        <w:t>MUKADIMAH</w:t>
      </w:r>
    </w:p>
    <w:p>
      <w:pPr>
        <w:spacing w:before="0" w:after="100" w:line="269" w:lineRule="auto"/>
        <w:jc w:val="both"/>
      </w:pPr>
      <w:r>
        <w:rPr>
          <w:rFonts w:ascii="Times New Roman" w:hAnsi="Times New Roman" w:eastAsia="Times New Roman"/>
          <w:b w:val="0"/>
          <w:i w:val="0"/>
          <w:color w:val="172B33"/>
          <w:sz w:val="21"/>
        </w:rPr>
        <w:t>Bahwa sesungguhnya pendidikan adalah hak setiap warga negara dan setiap individu tanpa memandang kondisi fisik, mental, intelektual, sosial, ekonomi, maupun latar belakang keluarga. Pendidikan yang inklusif, adaptif, dan bermartabat merupakan bagian dari tanggung jawab kemanusiaan untuk mencerdaskan kehidupan bangsa serta memperkuat keadilan sosial bagi seluruh rakyat Indonesia.</w:t>
      </w:r>
    </w:p>
    <w:p>
      <w:pPr>
        <w:spacing w:before="0" w:after="100" w:line="269" w:lineRule="auto"/>
        <w:jc w:val="both"/>
      </w:pPr>
      <w:r>
        <w:rPr>
          <w:rFonts w:ascii="Times New Roman" w:hAnsi="Times New Roman" w:eastAsia="Times New Roman"/>
          <w:b w:val="0"/>
          <w:i w:val="0"/>
          <w:color w:val="172B33"/>
          <w:sz w:val="21"/>
        </w:rPr>
        <w:t>Menyadari tingginya kebutuhan terhadap ekosistem pendampingan bagi Anak Berkebutuhan Khusus (ABK), penguatan kapasitas keluarga, serta keterlibatan relawan mahasiswa dalam gerakan pendidikan khusus, maka diperlukan wadah pergerakan kemanusiaan yang terstruktur, profesional, akuntabel, dan berkelanjutan.</w:t>
      </w:r>
    </w:p>
    <w:p>
      <w:pPr>
        <w:spacing w:before="0" w:after="180" w:line="269" w:lineRule="auto"/>
        <w:jc w:val="both"/>
      </w:pPr>
      <w:r>
        <w:rPr>
          <w:rFonts w:ascii="Times New Roman" w:hAnsi="Times New Roman" w:eastAsia="Times New Roman"/>
          <w:b w:val="0"/>
          <w:i w:val="0"/>
          <w:color w:val="172B33"/>
          <w:sz w:val="21"/>
        </w:rPr>
        <w:t>Atas berkat rahmat Tuhan Yang Maha Esa, dibentuklah Lembaga Kemanusiaan Karsa Inklusi Nusantara (KIN) sebagai organisasi sosial-kemanusiaan yang berfokus pada pemberdayaan pendidikan khusus, pendampingan adaptif, advokasi inklusi, dan pengabdian masyarakat. Untuk menjamin arah, tata kelola, dan keberlanjutan lembaga, disusunlah Anggaran Dasar dan Anggaran Rumah Tangga sebagai landasan konstitusional organisasi.</w:t>
      </w:r>
    </w:p>
    <w:p>
      <w:pPr>
        <w:spacing w:before="60" w:after="40"/>
        <w:jc w:val="center"/>
        <w:pBdr>
          <w:bottom w:val="single" w:sz="8" w:space="3" w:color="E09F2A"/>
        </w:pBdr>
      </w:pPr>
      <w:r>
        <w:rPr>
          <w:rFonts w:ascii="Times New Roman" w:hAnsi="Times New Roman" w:eastAsia="Times New Roman"/>
          <w:b/>
          <w:i w:val="0"/>
          <w:color w:val="004D56"/>
          <w:sz w:val="30"/>
        </w:rPr>
        <w:t>ANGGARAN DASAR (AD)</w:t>
      </w:r>
    </w:p>
    <w:p>
      <w:pPr>
        <w:spacing w:after="160"/>
        <w:jc w:val="center"/>
      </w:pPr>
      <w:r>
        <w:rPr>
          <w:rFonts w:ascii="Times New Roman" w:hAnsi="Times New Roman" w:eastAsia="Times New Roman"/>
          <w:b w:val="0"/>
          <w:i w:val="0"/>
          <w:color w:val="697177"/>
          <w:sz w:val="20"/>
        </w:rPr>
        <w:t>Karsa Inklusi Nusantara (KIN)</w:t>
      </w:r>
    </w:p>
    <w:p>
      <w:pPr>
        <w:spacing w:before="160" w:after="80" w:line="252" w:lineRule="auto"/>
        <w:pBdr>
          <w:bottom w:val="single" w:sz="6" w:space="2" w:color="E09F2A"/>
        </w:pBdr>
        <w:keepNext/>
      </w:pPr>
      <w:r>
        <w:rPr>
          <w:rFonts w:ascii="Times New Roman" w:hAnsi="Times New Roman" w:eastAsia="Times New Roman"/>
          <w:b/>
          <w:i w:val="0"/>
          <w:color w:val="004D56"/>
          <w:sz w:val="24"/>
        </w:rPr>
        <w:t>BAB I - NAMA, WAKTU, DAN KEDUDUKAN</w:t>
      </w:r>
    </w:p>
    <w:p>
      <w:pPr>
        <w:spacing w:before="80" w:after="20" w:line="252" w:lineRule="auto"/>
        <w:keepNext/>
      </w:pPr>
      <w:r>
        <w:rPr>
          <w:rFonts w:ascii="Times New Roman" w:hAnsi="Times New Roman" w:eastAsia="Times New Roman"/>
          <w:b/>
          <w:i w:val="0"/>
          <w:color w:val="004D56"/>
          <w:sz w:val="21"/>
        </w:rPr>
        <w:t>Pasal 1 - Nama</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Lembaga ini bernama Karsa Inklusi Nusantara, selanjutnya disingkat KIN.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KIN merupakan lembaga kemanusiaan yang bergerak di bidang pendidikan khusus, pemberdayaan Anak Berkebutuhan Khusus (ABK), pengembangan relawan mahasiswa, dan aksi pengabdian masyarakat yang berorientasi pada inklusi.</w:t>
      </w:r>
    </w:p>
    <w:p>
      <w:pPr>
        <w:spacing w:before="80" w:after="20" w:line="252" w:lineRule="auto"/>
        <w:keepNext/>
      </w:pPr>
      <w:r>
        <w:rPr>
          <w:rFonts w:ascii="Times New Roman" w:hAnsi="Times New Roman" w:eastAsia="Times New Roman"/>
          <w:b/>
          <w:i w:val="0"/>
          <w:color w:val="004D56"/>
          <w:sz w:val="21"/>
        </w:rPr>
        <w:t>Pasal 2 - Waktu Pendirian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KIN didirikan pada tanggal 8 Mei 2026 di Palembang.</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KIN didirikan untuk jangka waktu yang tidak ditentukan sepanjang tetap menjalankan visi, misi, dan prinsip dasar lembaga.</w:t>
      </w:r>
    </w:p>
    <w:p>
      <w:pPr>
        <w:spacing w:before="80" w:after="20" w:line="252" w:lineRule="auto"/>
        <w:keepNext/>
      </w:pPr>
      <w:r>
        <w:rPr>
          <w:rFonts w:ascii="Times New Roman" w:hAnsi="Times New Roman" w:eastAsia="Times New Roman"/>
          <w:b/>
          <w:i w:val="0"/>
          <w:color w:val="004D56"/>
          <w:sz w:val="21"/>
        </w:rPr>
        <w:t>Pasal 3 - Kedudukan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KIN berkedudukan di Kota Palembang, Provinsi Sumatera Selatan, Republik Indonesia.</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Sekretariat KIN beralamat di Jl. Raya Palembang - Prabumulih, Sumatera Selatan, atau alamat lain yang ditetapkan kemudian melalui keputusan resmi Pengurus Pusat.</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KIN dapat mengembangkan sistem kerja berbasis Hybrid Node di berbagai provinsi di Indonesia sesuai kebutuhan program, kapasitas relawan, dan kesiapan mitra lokal.</w:t>
      </w:r>
    </w:p>
    <w:p>
      <w:pPr>
        <w:spacing w:before="160" w:after="80" w:line="252" w:lineRule="auto"/>
        <w:pBdr>
          <w:bottom w:val="single" w:sz="6" w:space="2" w:color="E09F2A"/>
        </w:pBdr>
        <w:keepNext/>
      </w:pPr>
      <w:r>
        <w:rPr>
          <w:rFonts w:ascii="Times New Roman" w:hAnsi="Times New Roman" w:eastAsia="Times New Roman"/>
          <w:b/>
          <w:i w:val="0"/>
          <w:color w:val="004D56"/>
          <w:sz w:val="24"/>
        </w:rPr>
        <w:t>BAB II - ASAS, SIFAT, DAN BENTUK</w:t>
      </w:r>
    </w:p>
    <w:p>
      <w:pPr>
        <w:spacing w:before="80" w:after="20" w:line="252" w:lineRule="auto"/>
        <w:keepNext/>
      </w:pPr>
      <w:r>
        <w:rPr>
          <w:rFonts w:ascii="Times New Roman" w:hAnsi="Times New Roman" w:eastAsia="Times New Roman"/>
          <w:b/>
          <w:i w:val="0"/>
          <w:color w:val="004D56"/>
          <w:sz w:val="21"/>
        </w:rPr>
        <w:t>Pasal 4 - Asas</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KIN berasaskan Pancasila dan Undang-Undang Dasar Negara Republik Indonesia Tahun 1945.</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Pelaksanaan seluruh aktivitas KIN berlandaskan nilai kemanusiaan, keadilan sosial, nondiskriminasi, gotong royong, penghormatan martabat manusia, serta keberpihakan pada kelompok rentan.</w:t>
      </w:r>
    </w:p>
    <w:p>
      <w:pPr>
        <w:spacing w:before="80" w:after="20" w:line="252" w:lineRule="auto"/>
        <w:keepNext/>
      </w:pPr>
      <w:r>
        <w:rPr>
          <w:rFonts w:ascii="Times New Roman" w:hAnsi="Times New Roman" w:eastAsia="Times New Roman"/>
          <w:b/>
          <w:i w:val="0"/>
          <w:color w:val="004D56"/>
          <w:sz w:val="21"/>
        </w:rPr>
        <w:t>Pasal 5 - Sifat</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KIN bersifat independen, nirlaba, inklusif, nonpartisan, dan tidak berafiliasi dengan partai politik mana pun.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KIN menjalankan kegiatan secara terbuka, profesional, akuntabel, partisipatif, dan berorientasi pada dampak sosial yang terukur.</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KIN menolak segala bentuk eksploitasi, diskriminasi, kekerasan, perundungan, stigmatisasi, dan penyalahgunaan posisi terhadap anak, keluarga, relawan, maupun penerima manfaat.</w:t>
      </w:r>
    </w:p>
    <w:p>
      <w:pPr>
        <w:spacing w:before="80" w:after="20" w:line="252" w:lineRule="auto"/>
        <w:keepNext/>
      </w:pPr>
      <w:r>
        <w:rPr>
          <w:rFonts w:ascii="Times New Roman" w:hAnsi="Times New Roman" w:eastAsia="Times New Roman"/>
          <w:b/>
          <w:i w:val="0"/>
          <w:color w:val="004D56"/>
          <w:sz w:val="21"/>
        </w:rPr>
        <w:t>Pasal 6 - Bentuk</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KIN berbentuk lembaga sosial-kemanusiaan dan organisasi masyarakat sipil yang berfokus pada pendidikan khusus, pendampingan adaptif, advokasi inklusi, dan pengabdian masyarakat.</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KIN dapat bekerja sama dengan institusi pendidikan, komunitas orang tua, pemerintah daerah, lembaga profesi, dunia usaha, lembaga donor, dan media massa sepanjang tidak bertentangan dengan asas, etika, dan independensi lembaga.</w:t>
      </w:r>
    </w:p>
    <w:p>
      <w:pPr>
        <w:spacing w:before="160" w:after="80" w:line="252" w:lineRule="auto"/>
        <w:pBdr>
          <w:bottom w:val="single" w:sz="6" w:space="2" w:color="E09F2A"/>
        </w:pBdr>
        <w:keepNext/>
      </w:pPr>
      <w:r>
        <w:rPr>
          <w:rFonts w:ascii="Times New Roman" w:hAnsi="Times New Roman" w:eastAsia="Times New Roman"/>
          <w:b/>
          <w:i w:val="0"/>
          <w:color w:val="004D56"/>
          <w:sz w:val="24"/>
        </w:rPr>
        <w:t>BAB III - VISI, MISI, NILAI, TUJUAN, DAN RUANG LINGKUP</w:t>
      </w:r>
    </w:p>
    <w:p>
      <w:pPr>
        <w:spacing w:before="80" w:after="20" w:line="252" w:lineRule="auto"/>
        <w:keepNext/>
      </w:pPr>
      <w:r>
        <w:rPr>
          <w:rFonts w:ascii="Times New Roman" w:hAnsi="Times New Roman" w:eastAsia="Times New Roman"/>
          <w:b/>
          <w:i w:val="0"/>
          <w:color w:val="004D56"/>
          <w:sz w:val="21"/>
        </w:rPr>
        <w:t>Pasal 7 - Visi</w:t>
      </w:r>
    </w:p>
    <w:p>
      <w:pPr>
        <w:spacing w:before="0" w:after="60" w:line="259" w:lineRule="auto"/>
        <w:jc w:val="both"/>
      </w:pPr>
      <w:r>
        <w:rPr>
          <w:rFonts w:ascii="Times New Roman" w:hAnsi="Times New Roman" w:eastAsia="Times New Roman"/>
          <w:b w:val="0"/>
          <w:i w:val="0"/>
          <w:color w:val="172B33"/>
          <w:sz w:val="20"/>
        </w:rPr>
        <w:t>Menjadi ekosistem pemberdayaan pendidikan inklusi terkemuka di Indonesia yang mengintegrasikan relawan mahasiswa, tenaga ahli, keluarga, komunitas, dan mitra lintas sektor untuk mewujudkan kemandirian Anak Berkebutuhan Khusus (ABK).</w:t>
      </w:r>
    </w:p>
    <w:p>
      <w:pPr>
        <w:spacing w:before="80" w:after="20" w:line="252" w:lineRule="auto"/>
        <w:keepNext/>
      </w:pPr>
      <w:r>
        <w:rPr>
          <w:rFonts w:ascii="Times New Roman" w:hAnsi="Times New Roman" w:eastAsia="Times New Roman"/>
          <w:b/>
          <w:i w:val="0"/>
          <w:color w:val="004D56"/>
          <w:sz w:val="21"/>
        </w:rPr>
        <w:t>Pasal 8 - Misi</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Menyelenggarakan pendampingan adaptif, Modul Bina Diri, dan program penguatan Activity of Daily Living (ADL) bagi ABK.</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Mencetak agen inklusi melalui Training of Trainers (ToT), sertifikasi relawan, dan pembinaan kapasitas mahasiswa secara nasional.</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Membangun ruang edukasi, dukungan psikologis, dan advokasi praktis bagi orang tua serta keluarga ABK.</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Mengembangkan sistem Monitoring &amp; Evaluation (M&amp;E) berbasis data untuk memastikan capaian program dapat dipantau, dievaluasi, dan dipertanggungjawabkan.</w:t>
      </w:r>
    </w:p>
    <w:p>
      <w:pPr>
        <w:spacing w:before="0" w:after="40" w:line="257" w:lineRule="auto"/>
        <w:ind w:left="312" w:hanging="198"/>
        <w:jc w:val="both"/>
      </w:pPr>
      <w:r>
        <w:rPr>
          <w:rFonts w:ascii="Times New Roman" w:hAnsi="Times New Roman" w:eastAsia="Times New Roman"/>
          <w:b/>
          <w:i w:val="0"/>
          <w:color w:val="004D56"/>
          <w:sz w:val="20"/>
        </w:rPr>
        <w:t xml:space="preserve">5. </w:t>
      </w:r>
      <w:r>
        <w:rPr>
          <w:rFonts w:ascii="Times New Roman" w:hAnsi="Times New Roman" w:eastAsia="Times New Roman"/>
          <w:b w:val="0"/>
          <w:i w:val="0"/>
          <w:color w:val="172B33"/>
          <w:sz w:val="20"/>
        </w:rPr>
        <w:t>Menguatkan kampanye publik dan kemitraan strategis untuk memperluas kesadaran masyarakat terhadap pendidikan inklusif dan hak-hak ABK.</w:t>
      </w:r>
    </w:p>
    <w:p>
      <w:pPr>
        <w:spacing w:before="80" w:after="20" w:line="252" w:lineRule="auto"/>
        <w:keepNext/>
      </w:pPr>
      <w:r>
        <w:rPr>
          <w:rFonts w:ascii="Times New Roman" w:hAnsi="Times New Roman" w:eastAsia="Times New Roman"/>
          <w:b/>
          <w:i w:val="0"/>
          <w:color w:val="004D56"/>
          <w:sz w:val="21"/>
        </w:rPr>
        <w:t>Pasal 9 - Nilai Dasar</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Inklusi, yaitu menerima dan menghormati keberagaman kebutuhan serta potensi setiap individu.</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Empati, yaitu menempatkan kepentingan terbaik anak dan keluarga sebagai prioritas utama.</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Integritas, yaitu menjalankan amanah lembaga secara jujur, transparan, dan bertanggung jawab.</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Profesionalisme, yaitu bekerja berdasarkan standar mutu, evidence-informed practice, dan evaluasi berkelanjutan.</w:t>
      </w:r>
    </w:p>
    <w:p>
      <w:pPr>
        <w:spacing w:before="0" w:after="40" w:line="257" w:lineRule="auto"/>
        <w:ind w:left="312" w:hanging="198"/>
        <w:jc w:val="both"/>
      </w:pPr>
      <w:r>
        <w:rPr>
          <w:rFonts w:ascii="Times New Roman" w:hAnsi="Times New Roman" w:eastAsia="Times New Roman"/>
          <w:b/>
          <w:i w:val="0"/>
          <w:color w:val="004D56"/>
          <w:sz w:val="20"/>
        </w:rPr>
        <w:t xml:space="preserve">5. </w:t>
      </w:r>
      <w:r>
        <w:rPr>
          <w:rFonts w:ascii="Times New Roman" w:hAnsi="Times New Roman" w:eastAsia="Times New Roman"/>
          <w:b w:val="0"/>
          <w:i w:val="0"/>
          <w:color w:val="172B33"/>
          <w:sz w:val="20"/>
        </w:rPr>
        <w:t>Kolaborasi, yaitu membangun jejaring lintas disiplin dan lintas sektor untuk dampak sosial yang lebih luas.</w:t>
      </w:r>
    </w:p>
    <w:p>
      <w:pPr>
        <w:spacing w:before="80" w:after="20" w:line="252" w:lineRule="auto"/>
        <w:keepNext/>
      </w:pPr>
      <w:r>
        <w:rPr>
          <w:rFonts w:ascii="Times New Roman" w:hAnsi="Times New Roman" w:eastAsia="Times New Roman"/>
          <w:b/>
          <w:i w:val="0"/>
          <w:color w:val="004D56"/>
          <w:sz w:val="21"/>
        </w:rPr>
        <w:t>Pasal 10 - Tujuan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Memperluas akses pendampingan pendidikan khusus bagi ABK secara adaptif, terjangkau, dan bermartabat.</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Meningkatkan kapasitas relawan mahasiswa sebagai shadow teacher, fasilitator inklusi, dan agen perubahan sosial.</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Menyediakan modul, silabus, dan perangkat pendampingan yang praktis bagi anak, keluarga, dan relawan.</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Mendorong keluarga dan komunitas untuk memahami kebutuhan perkembangan, komunikasi, kemandirian, serta hak-hak ABK.</w:t>
      </w:r>
    </w:p>
    <w:p>
      <w:pPr>
        <w:spacing w:before="0" w:after="40" w:line="257" w:lineRule="auto"/>
        <w:ind w:left="312" w:hanging="198"/>
        <w:jc w:val="both"/>
      </w:pPr>
      <w:r>
        <w:rPr>
          <w:rFonts w:ascii="Times New Roman" w:hAnsi="Times New Roman" w:eastAsia="Times New Roman"/>
          <w:b/>
          <w:i w:val="0"/>
          <w:color w:val="004D56"/>
          <w:sz w:val="20"/>
        </w:rPr>
        <w:t xml:space="preserve">5. </w:t>
      </w:r>
      <w:r>
        <w:rPr>
          <w:rFonts w:ascii="Times New Roman" w:hAnsi="Times New Roman" w:eastAsia="Times New Roman"/>
          <w:b w:val="0"/>
          <w:i w:val="0"/>
          <w:color w:val="172B33"/>
          <w:sz w:val="20"/>
        </w:rPr>
        <w:t>Membangun tata kelola lembaga yang transparan, terukur, dan layak dipertanggungjawabkan kepada publik.</w:t>
      </w:r>
    </w:p>
    <w:p>
      <w:pPr>
        <w:spacing w:before="80" w:after="20" w:line="252" w:lineRule="auto"/>
        <w:keepNext/>
      </w:pPr>
      <w:r>
        <w:rPr>
          <w:rFonts w:ascii="Times New Roman" w:hAnsi="Times New Roman" w:eastAsia="Times New Roman"/>
          <w:b/>
          <w:i w:val="0"/>
          <w:color w:val="004D56"/>
          <w:sz w:val="21"/>
        </w:rPr>
        <w:t>Pasal 11 - Ruang Lingkup Kegiatan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Pelatihan relawan, Training of Trainers (ToT), dan penguatan kapasitas shadow teacher.</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Pendampingan ADL, Bina Diri, keterampilan sosial, komunikasi fungsional, dan adaptasi perilaku dasar.</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Edukasi keluarga, kelas orang tua, advokasi inklusi, dan kampanye publik.</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Pengembangan modul, database relawan, logbook digital, instrumen evaluasi, serta Impact Report tahunan.</w:t>
      </w:r>
    </w:p>
    <w:p>
      <w:pPr>
        <w:spacing w:before="0" w:after="40" w:line="257" w:lineRule="auto"/>
        <w:ind w:left="312" w:hanging="198"/>
        <w:jc w:val="both"/>
      </w:pPr>
      <w:r>
        <w:rPr>
          <w:rFonts w:ascii="Times New Roman" w:hAnsi="Times New Roman" w:eastAsia="Times New Roman"/>
          <w:b/>
          <w:i w:val="0"/>
          <w:color w:val="004D56"/>
          <w:sz w:val="20"/>
        </w:rPr>
        <w:t xml:space="preserve">5. </w:t>
      </w:r>
      <w:r>
        <w:rPr>
          <w:rFonts w:ascii="Times New Roman" w:hAnsi="Times New Roman" w:eastAsia="Times New Roman"/>
          <w:b w:val="0"/>
          <w:i w:val="0"/>
          <w:color w:val="172B33"/>
          <w:sz w:val="20"/>
        </w:rPr>
        <w:t>Kemitraan program dengan sekolah, komunitas, instansi pemerintah, organisasi profesi, lembaga donor, dan pihak lain yang sah.</w:t>
      </w:r>
    </w:p>
    <w:p>
      <w:pPr>
        <w:spacing w:before="160" w:after="80" w:line="252" w:lineRule="auto"/>
        <w:pBdr>
          <w:bottom w:val="single" w:sz="6" w:space="2" w:color="E09F2A"/>
        </w:pBdr>
        <w:keepNext/>
      </w:pPr>
      <w:r>
        <w:rPr>
          <w:rFonts w:ascii="Times New Roman" w:hAnsi="Times New Roman" w:eastAsia="Times New Roman"/>
          <w:b/>
          <w:i w:val="0"/>
          <w:color w:val="004D56"/>
          <w:sz w:val="24"/>
        </w:rPr>
        <w:t>BAB IV - STRUKTUR ORGANISASI DAN KEPENGURUSAN</w:t>
      </w:r>
    </w:p>
    <w:p>
      <w:pPr>
        <w:spacing w:before="80" w:after="20" w:line="252" w:lineRule="auto"/>
        <w:keepNext/>
      </w:pPr>
      <w:r>
        <w:rPr>
          <w:rFonts w:ascii="Times New Roman" w:hAnsi="Times New Roman" w:eastAsia="Times New Roman"/>
          <w:b/>
          <w:i w:val="0"/>
          <w:color w:val="004D56"/>
          <w:sz w:val="21"/>
        </w:rPr>
        <w:t>Pasal 12 - Unsur Organisasi</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Dewan Penasihat (Board of Advisors).</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Direktur Eksekutif (Executive Director).</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Direktur Operasional (Director of Operations).</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Direktorat Program.</w:t>
      </w:r>
    </w:p>
    <w:p>
      <w:pPr>
        <w:spacing w:before="0" w:after="40" w:line="257" w:lineRule="auto"/>
        <w:ind w:left="312" w:hanging="198"/>
        <w:jc w:val="both"/>
      </w:pPr>
      <w:r>
        <w:rPr>
          <w:rFonts w:ascii="Times New Roman" w:hAnsi="Times New Roman" w:eastAsia="Times New Roman"/>
          <w:b/>
          <w:i w:val="0"/>
          <w:color w:val="004D56"/>
          <w:sz w:val="20"/>
        </w:rPr>
        <w:t xml:space="preserve">5. </w:t>
      </w:r>
      <w:r>
        <w:rPr>
          <w:rFonts w:ascii="Times New Roman" w:hAnsi="Times New Roman" w:eastAsia="Times New Roman"/>
          <w:b w:val="0"/>
          <w:i w:val="0"/>
          <w:color w:val="172B33"/>
          <w:sz w:val="20"/>
        </w:rPr>
        <w:t>Direktorat Kemitraan dan Public Relations.</w:t>
      </w:r>
    </w:p>
    <w:p>
      <w:pPr>
        <w:spacing w:before="0" w:after="40" w:line="257" w:lineRule="auto"/>
        <w:ind w:left="312" w:hanging="198"/>
        <w:jc w:val="both"/>
      </w:pPr>
      <w:r>
        <w:rPr>
          <w:rFonts w:ascii="Times New Roman" w:hAnsi="Times New Roman" w:eastAsia="Times New Roman"/>
          <w:b/>
          <w:i w:val="0"/>
          <w:color w:val="004D56"/>
          <w:sz w:val="20"/>
        </w:rPr>
        <w:t xml:space="preserve">6. </w:t>
      </w:r>
      <w:r>
        <w:rPr>
          <w:rFonts w:ascii="Times New Roman" w:hAnsi="Times New Roman" w:eastAsia="Times New Roman"/>
          <w:b w:val="0"/>
          <w:i w:val="0"/>
          <w:color w:val="172B33"/>
          <w:sz w:val="20"/>
        </w:rPr>
        <w:t>Direktorat Keuangan dan Administrasi.</w:t>
      </w:r>
    </w:p>
    <w:p>
      <w:pPr>
        <w:spacing w:before="0" w:after="40" w:line="257" w:lineRule="auto"/>
        <w:ind w:left="312" w:hanging="198"/>
        <w:jc w:val="both"/>
      </w:pPr>
      <w:r>
        <w:rPr>
          <w:rFonts w:ascii="Times New Roman" w:hAnsi="Times New Roman" w:eastAsia="Times New Roman"/>
          <w:b/>
          <w:i w:val="0"/>
          <w:color w:val="004D56"/>
          <w:sz w:val="20"/>
        </w:rPr>
        <w:t xml:space="preserve">7. </w:t>
      </w:r>
      <w:r>
        <w:rPr>
          <w:rFonts w:ascii="Times New Roman" w:hAnsi="Times New Roman" w:eastAsia="Times New Roman"/>
          <w:b w:val="0"/>
          <w:i w:val="0"/>
          <w:color w:val="172B33"/>
          <w:sz w:val="20"/>
        </w:rPr>
        <w:t>Relawan, fasilitator, dan/atau Hybrid Node regional yang dibentuk sesuai kebutuhan organisasi.</w:t>
      </w:r>
    </w:p>
    <w:p>
      <w:pPr>
        <w:spacing w:before="80" w:after="20" w:line="252" w:lineRule="auto"/>
        <w:keepNext/>
      </w:pPr>
      <w:r>
        <w:rPr>
          <w:rFonts w:ascii="Times New Roman" w:hAnsi="Times New Roman" w:eastAsia="Times New Roman"/>
          <w:b/>
          <w:i w:val="0"/>
          <w:color w:val="004D56"/>
          <w:sz w:val="21"/>
        </w:rPr>
        <w:t>Pasal 13 - Prinsip Kepengurusan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Pengurus KIN dipilih dan/atau ditetapkan berdasarkan integritas, kompetensi, komitmen sosial, kemampuan kerja sama, serta rekam jejak yang relevan.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Pengurus wajib menjalankan fungsi organisasi secara kolektif-kolegial, terukur, dan patuh pada AD/ART, keputusan resmi, SOP, serta kode etik lembaga.</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Masa kepengurusan Pengurus Pusat KIN adalah satu tahun atau periode lain yang ditetapkan melalui keputusan resmi Dewan Penasihat/Pendiri.</w:t>
      </w:r>
    </w:p>
    <w:p>
      <w:pPr>
        <w:spacing w:before="80" w:after="20" w:line="252" w:lineRule="auto"/>
        <w:keepNext/>
      </w:pPr>
      <w:r>
        <w:rPr>
          <w:rFonts w:ascii="Times New Roman" w:hAnsi="Times New Roman" w:eastAsia="Times New Roman"/>
          <w:b/>
          <w:i w:val="0"/>
          <w:color w:val="004D56"/>
          <w:sz w:val="21"/>
        </w:rPr>
        <w:t>Pasal 14 - Dewan Penasihat</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Dewan Penasihat bertugas memberikan validasi ilmiah, arahan etik, pengawasan mutu, dan rekomendasi strategis terhadap arah gerak lembaga.</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Dewan Penasihat berwenang memberikan persetujuan atas perubahan mendasar AD/ART, pembubaran lembaga, pengangkatan pengurus strategis, dan kebijakan yang berdampak besar terhadap reputasi lembaga.</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Dewan Penasihat dapat meminta laporan perkembangan program dan laporan akuntabilitas dari Pengurus Pusat secara berkala.</w:t>
      </w:r>
    </w:p>
    <w:p>
      <w:pPr>
        <w:spacing w:before="160" w:after="80" w:line="252" w:lineRule="auto"/>
        <w:pBdr>
          <w:bottom w:val="single" w:sz="6" w:space="2" w:color="E09F2A"/>
        </w:pBdr>
        <w:keepNext/>
      </w:pPr>
      <w:r>
        <w:rPr>
          <w:rFonts w:ascii="Times New Roman" w:hAnsi="Times New Roman" w:eastAsia="Times New Roman"/>
          <w:b/>
          <w:i w:val="0"/>
          <w:color w:val="004D56"/>
          <w:sz w:val="24"/>
        </w:rPr>
        <w:t>BAB V - KEANGGOTAAN, RELAWAN, DAN PENERIMA MANFAAT</w:t>
      </w:r>
    </w:p>
    <w:p>
      <w:pPr>
        <w:spacing w:before="80" w:after="20" w:line="252" w:lineRule="auto"/>
        <w:keepNext/>
      </w:pPr>
      <w:r>
        <w:rPr>
          <w:rFonts w:ascii="Times New Roman" w:hAnsi="Times New Roman" w:eastAsia="Times New Roman"/>
          <w:b/>
          <w:i w:val="0"/>
          <w:color w:val="004D56"/>
          <w:sz w:val="21"/>
        </w:rPr>
        <w:t>Pasal 15 - Keanggotaan dan Relawan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Anggota dan relawan KIN dapat berasal dari mahasiswa, tenaga pendidik, profesional, pemerhati pendidikan, komunitas, dan masyarakat umum yang memiliki kepedulian terhadap pendidikan inklusif.</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Relawan mahasiswa wajib mengikuti proses rekrutmen, orientasi, Training of Trainers (ToT), dan/atau pembekalan lain yang ditetapkan Pengurus Pusat.</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Setiap relawan wajib mematuhi kode etik, menjaga keselamatan anak, menghormati keluarga, menjaga kerahasiaan data, serta melaporkan kegiatan melalui mekanisme yang ditetapkan.</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Penerima manfaat KIN meliputi ABK, keluarga, sekolah, komunitas, relawan, dan masyarakat yang memperoleh dampak dari program pendampingan, edukasi, advokasi, dan kampanye inklusi.</w:t>
      </w:r>
    </w:p>
    <w:p>
      <w:pPr>
        <w:spacing w:before="160" w:after="80" w:line="252" w:lineRule="auto"/>
        <w:pBdr>
          <w:bottom w:val="single" w:sz="6" w:space="2" w:color="E09F2A"/>
        </w:pBdr>
        <w:keepNext/>
      </w:pPr>
      <w:r>
        <w:rPr>
          <w:rFonts w:ascii="Times New Roman" w:hAnsi="Times New Roman" w:eastAsia="Times New Roman"/>
          <w:b/>
          <w:i w:val="0"/>
          <w:color w:val="004D56"/>
          <w:sz w:val="24"/>
        </w:rPr>
        <w:t>BAB VI - KEUANGAN, KEKAYAAN, DAN AKUNTABILITAS</w:t>
      </w:r>
    </w:p>
    <w:p>
      <w:pPr>
        <w:spacing w:before="80" w:after="20" w:line="252" w:lineRule="auto"/>
        <w:keepNext/>
      </w:pPr>
      <w:r>
        <w:rPr>
          <w:rFonts w:ascii="Times New Roman" w:hAnsi="Times New Roman" w:eastAsia="Times New Roman"/>
          <w:b/>
          <w:i w:val="0"/>
          <w:color w:val="004D56"/>
          <w:sz w:val="21"/>
        </w:rPr>
        <w:t>Pasal 16 - Sumber Keuangan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Hibah, donasi, dan bantuan sah yang tidak mengikat.</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Dukungan Corporate Social Responsibility (CSR) dan kemitraan sosial yang tidak bertentangan dengan nilai dan independensi lembaga.</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Pendanaan program dari institusi pendidikan, lembaga donor, pemerintah, atau mitra lain yang sah.</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Usaha-usaha lain yang sah, etis, transparan, dan sesuai dengan tujuan lembaga.</w:t>
      </w:r>
    </w:p>
    <w:p>
      <w:pPr>
        <w:spacing w:before="80" w:after="20" w:line="252" w:lineRule="auto"/>
        <w:keepNext/>
      </w:pPr>
      <w:r>
        <w:rPr>
          <w:rFonts w:ascii="Times New Roman" w:hAnsi="Times New Roman" w:eastAsia="Times New Roman"/>
          <w:b/>
          <w:i w:val="0"/>
          <w:color w:val="004D56"/>
          <w:sz w:val="21"/>
        </w:rPr>
        <w:t>Pasal 17 - Pengelolaan Keuangan dan Kekayaan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Seluruh dana dan kekayaan lembaga wajib digunakan untuk mendukung visi, misi, program, operasional, dan keberlanjutan kelembagaan KIN.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Pengelolaan keuangan dilakukan secara tertib, transparan, terdokumentasi, dan dapat dipertanggungjawabkan.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Pengurus wajib menyusun laporan keuangan internal dan Impact Report tahunan sebagai bentuk akuntabilitas publik.</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Aset, dokumen, data, modul, dan perangkat organisasi merupakan bagian dari kekayaan kelembagaan dan wajib dijaga dari penyalahgunaan.</w:t>
      </w:r>
    </w:p>
    <w:p>
      <w:pPr>
        <w:spacing w:before="160" w:after="80" w:line="252" w:lineRule="auto"/>
        <w:pBdr>
          <w:bottom w:val="single" w:sz="6" w:space="2" w:color="E09F2A"/>
        </w:pBdr>
        <w:keepNext/>
      </w:pPr>
      <w:r>
        <w:rPr>
          <w:rFonts w:ascii="Times New Roman" w:hAnsi="Times New Roman" w:eastAsia="Times New Roman"/>
          <w:b/>
          <w:i w:val="0"/>
          <w:color w:val="004D56"/>
          <w:sz w:val="24"/>
        </w:rPr>
        <w:t>BAB VII - PERUBAHAN AD/ART, PEMBUBARAN, DAN KETENTUAN PENUTUP</w:t>
      </w:r>
    </w:p>
    <w:p>
      <w:pPr>
        <w:spacing w:before="80" w:after="20" w:line="252" w:lineRule="auto"/>
        <w:keepNext/>
      </w:pPr>
      <w:r>
        <w:rPr>
          <w:rFonts w:ascii="Times New Roman" w:hAnsi="Times New Roman" w:eastAsia="Times New Roman"/>
          <w:b/>
          <w:i w:val="0"/>
          <w:color w:val="004D56"/>
          <w:sz w:val="21"/>
        </w:rPr>
        <w:t>Pasal 18 - Perubahan AD/ART</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Perubahan Anggaran Dasar dan Anggaran Rumah Tangga hanya dapat dilakukan melalui Rapat Pleno Istimewa.</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Rapat Pleno Istimewa dinyatakan sah apabila dihadiri oleh sekurang-kurangnya dua pertiga dari jumlah Pengurus Pusat dan disetujui oleh Dewan Penasihat.</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Perubahan AD/ART wajib dituangkan dalam berita acara dan/atau dokumen keputusan resmi lembaga.</w:t>
      </w:r>
    </w:p>
    <w:p>
      <w:pPr>
        <w:spacing w:before="80" w:after="20" w:line="252" w:lineRule="auto"/>
        <w:keepNext/>
      </w:pPr>
      <w:r>
        <w:rPr>
          <w:rFonts w:ascii="Times New Roman" w:hAnsi="Times New Roman" w:eastAsia="Times New Roman"/>
          <w:b/>
          <w:i w:val="0"/>
          <w:color w:val="004D56"/>
          <w:sz w:val="21"/>
        </w:rPr>
        <w:t>Pasal 19 - Pembubaran Lembaga</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Pembubaran KIN hanya dapat dilakukan melalui Rapat Pleno Istimewa dengan persetujuan Dewan Penasihat.</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Apabila lembaga dibubarkan, penyelesaian kewajiban, arsip, aset, dan dana lembaga dilakukan secara tertib, transparan, dan diarahkan untuk kepentingan sosial-kemanusiaan yang sejalan dengan tujuan KIN.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Keputusan pembubaran wajib memperhatikan keberlanjutan perlindungan penerima manfaat dan penyelesaian tanggung jawab program yang sedang berjalan.</w:t>
      </w:r>
    </w:p>
    <w:p>
      <w:pPr>
        <w:spacing w:before="80" w:after="20" w:line="252" w:lineRule="auto"/>
        <w:keepNext/>
      </w:pPr>
      <w:r>
        <w:rPr>
          <w:rFonts w:ascii="Times New Roman" w:hAnsi="Times New Roman" w:eastAsia="Times New Roman"/>
          <w:b/>
          <w:i w:val="0"/>
          <w:color w:val="004D56"/>
          <w:sz w:val="21"/>
        </w:rPr>
        <w:t>Pasal 20 - Penutup Anggaran Dasar</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Anggaran Dasar ini berlaku sejak tanggal ditetapkan.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Hal-hal yang belum diatur dalam Anggaran Dasar akan diatur lebih lanjut dalam Anggaran Rumah Tangga, keputusan pengurus, dan/atau Standard Operating Procedure (SOP) KIN.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Anggaran Dasar ini menjadi landasan konstitusional tertinggi bagi seluruh aktivitas kelembagaan KIN.</w:t>
      </w:r>
    </w:p>
    <w:p>
      <w:r>
        <w:br w:type="page"/>
      </w:r>
    </w:p>
    <w:p>
      <w:pPr>
        <w:spacing w:before="60" w:after="40"/>
        <w:jc w:val="center"/>
        <w:pBdr>
          <w:bottom w:val="single" w:sz="8" w:space="3" w:color="E09F2A"/>
        </w:pBdr>
      </w:pPr>
      <w:r>
        <w:rPr>
          <w:rFonts w:ascii="Times New Roman" w:hAnsi="Times New Roman" w:eastAsia="Times New Roman"/>
          <w:b/>
          <w:i w:val="0"/>
          <w:color w:val="004D56"/>
          <w:sz w:val="30"/>
        </w:rPr>
        <w:t>ANGGARAN RUMAH TANGGA (ART)</w:t>
      </w:r>
    </w:p>
    <w:p>
      <w:pPr>
        <w:spacing w:after="160"/>
        <w:jc w:val="center"/>
      </w:pPr>
      <w:r>
        <w:rPr>
          <w:rFonts w:ascii="Times New Roman" w:hAnsi="Times New Roman" w:eastAsia="Times New Roman"/>
          <w:b w:val="0"/>
          <w:i w:val="0"/>
          <w:color w:val="697177"/>
          <w:sz w:val="20"/>
        </w:rPr>
        <w:t>Karsa Inklusi Nusantara (KIN)</w:t>
      </w:r>
    </w:p>
    <w:p>
      <w:pPr>
        <w:spacing w:before="160" w:after="80" w:line="252" w:lineRule="auto"/>
        <w:pBdr>
          <w:bottom w:val="single" w:sz="6" w:space="2" w:color="E09F2A"/>
        </w:pBdr>
        <w:keepNext/>
      </w:pPr>
      <w:r>
        <w:rPr>
          <w:rFonts w:ascii="Times New Roman" w:hAnsi="Times New Roman" w:eastAsia="Times New Roman"/>
          <w:b/>
          <w:i w:val="0"/>
          <w:color w:val="004D56"/>
          <w:sz w:val="24"/>
        </w:rPr>
        <w:t>BAB I - KETENTUAN UMUM</w:t>
      </w:r>
    </w:p>
    <w:p>
      <w:pPr>
        <w:spacing w:before="80" w:after="20" w:line="252" w:lineRule="auto"/>
        <w:keepNext/>
      </w:pPr>
      <w:r>
        <w:rPr>
          <w:rFonts w:ascii="Times New Roman" w:hAnsi="Times New Roman" w:eastAsia="Times New Roman"/>
          <w:b/>
          <w:i w:val="0"/>
          <w:color w:val="004D56"/>
          <w:sz w:val="21"/>
        </w:rPr>
        <w:t>Pasal 1 - Kedudukan ART</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Anggaran Rumah Tangga (ART) merupakan penjabaran operasional dari Anggaran Dasar (AD) KIN.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AD dan ART merupakan satu kesatuan hukum kelembagaan yang tidak dapat dipisahkan.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Apabila terdapat hal operasional yang belum diatur dalam ART, ketentuan teknis dapat diatur melalui SOP, keputusan Pengurus Pusat, atau pedoman program yang disahkan secara internal.</w:t>
      </w:r>
    </w:p>
    <w:p>
      <w:pPr>
        <w:spacing w:before="80" w:after="20" w:line="252" w:lineRule="auto"/>
        <w:keepNext/>
      </w:pPr>
      <w:r>
        <w:rPr>
          <w:rFonts w:ascii="Times New Roman" w:hAnsi="Times New Roman" w:eastAsia="Times New Roman"/>
          <w:b/>
          <w:i w:val="0"/>
          <w:color w:val="004D56"/>
          <w:sz w:val="21"/>
        </w:rPr>
        <w:t>Pasal 2 - Definisi Operasional</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Anak Berkebutuhan Khusus (ABK) adalah anak yang membutuhkan layanan, dukungan, atau pendekatan adaptif karena kondisi perkembangan, fisik, intelektual, emosional, perilaku, sensorik, komunikasi, atau sosial tertentu.</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Relawan KIN adalah individu yang telah mengikuti proses rekrutmen, orientasi, dan pembekalan resmi untuk melaksanakan kegiatan pendampingan atau dukungan program.</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Shadow Teacher adalah relawan atau fasilitator pendamping yang membantu proses belajar, adaptasi, kemandirian, dan aktivitas harian anak sesuai panduan program.</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Hybrid Node adalah sistem kerja KIN yang mengombinasikan koordinasi daring, pelaksanaan lokal, database terapan, dan monitoring berkala di berbagai wilayah.</w:t>
      </w:r>
    </w:p>
    <w:p>
      <w:pPr>
        <w:spacing w:before="160" w:after="80" w:line="252" w:lineRule="auto"/>
        <w:pBdr>
          <w:bottom w:val="single" w:sz="6" w:space="2" w:color="E09F2A"/>
        </w:pBdr>
        <w:keepNext/>
      </w:pPr>
      <w:r>
        <w:rPr>
          <w:rFonts w:ascii="Times New Roman" w:hAnsi="Times New Roman" w:eastAsia="Times New Roman"/>
          <w:b/>
          <w:i w:val="0"/>
          <w:color w:val="004D56"/>
          <w:sz w:val="24"/>
        </w:rPr>
        <w:t>BAB II - REKRUTMEN, RELAWAN, DAN HYBRID NODE</w:t>
      </w:r>
    </w:p>
    <w:p>
      <w:pPr>
        <w:spacing w:before="80" w:after="20" w:line="252" w:lineRule="auto"/>
        <w:keepNext/>
      </w:pPr>
      <w:r>
        <w:rPr>
          <w:rFonts w:ascii="Times New Roman" w:hAnsi="Times New Roman" w:eastAsia="Times New Roman"/>
          <w:b/>
          <w:i w:val="0"/>
          <w:color w:val="004D56"/>
          <w:sz w:val="21"/>
        </w:rPr>
        <w:t>Pasal 3 - Rekrutmen Relawan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Rekrutmen relawan dilakukan secara terbuka, objektif, dan mempertimbangkan kebutuhan program, kapasitas pembinaan, serta ketersediaan titik operasional.</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Calon relawan dapat berasal dari mahasiswa aktif berbagai perguruan tinggi di Indonesia maupun unsur masyarakat yang memenuhi kriteria lembaga.</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Tahapan rekrutmen dapat meliputi pendaftaran, seleksi administrasi, wawancara, orientasi nilai lembaga, pembekalan dasar, dan penetapan relawan aktif.</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Pengurus berhak menolak, menunda, atau memberhentikan status relawan apabila terdapat pelanggaran etik, konflik kepentingan serius, atau risiko terhadap keselamatan penerima manfaat.</w:t>
      </w:r>
    </w:p>
    <w:p>
      <w:pPr>
        <w:spacing w:before="80" w:after="20" w:line="252" w:lineRule="auto"/>
        <w:keepNext/>
      </w:pPr>
      <w:r>
        <w:rPr>
          <w:rFonts w:ascii="Times New Roman" w:hAnsi="Times New Roman" w:eastAsia="Times New Roman"/>
          <w:b/>
          <w:i w:val="0"/>
          <w:color w:val="004D56"/>
          <w:sz w:val="21"/>
        </w:rPr>
        <w:t>Pasal 4 - Training of Trainers (ToT)</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Relawan wajib mengikuti Training of Trainers (ToT) atau pelatihan setara sebelum terlibat langsung dalam program pendampingan.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Materi ToT sekurang-kurangnya mencakup nilai inklusi, komunikasi empatik, dasar pendidikan khusus, Activity of Daily Living (ADL), keselamatan anak, etika relawan, pencatatan logbook, dan pelaporan kegiatan.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Relawan yang dinyatakan lulus pembekalan dapat diberikan mandat sebagai shadow teacher, fasilitator keluarga, pendamping kegiatan, atau petugas pendukung sesuai kebutuhan program.</w:t>
      </w:r>
    </w:p>
    <w:p>
      <w:pPr>
        <w:spacing w:before="80" w:after="20" w:line="252" w:lineRule="auto"/>
        <w:keepNext/>
      </w:pPr>
      <w:r>
        <w:rPr>
          <w:rFonts w:ascii="Times New Roman" w:hAnsi="Times New Roman" w:eastAsia="Times New Roman"/>
          <w:b/>
          <w:i w:val="0"/>
          <w:color w:val="004D56"/>
          <w:sz w:val="21"/>
        </w:rPr>
        <w:t>Pasal 5 - Tata Kerja Hybrid Node</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Hybrid Node dibentuk untuk memperluas jangkauan program KIN di berbagai provinsi melalui koordinasi pusat dan pelaksanaan lokal.</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Setiap Hybrid Node wajib mengikuti pedoman program, standar pelaporan, dan sistem Monitoring &amp; Evaluation (M&amp;E) yang ditetapkan Pengurus Pusat.</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Pembentukan, penggabungan, penonaktifan, atau evaluasi Hybrid Node dilakukan oleh Executive Director bersama Director of Operations dengan mempertimbangkan kesiapan SDM, mitra, dan keamanan pelaksanaan.</w:t>
      </w:r>
    </w:p>
    <w:p>
      <w:pPr>
        <w:spacing w:before="160" w:after="80" w:line="252" w:lineRule="auto"/>
        <w:pBdr>
          <w:bottom w:val="single" w:sz="6" w:space="2" w:color="E09F2A"/>
        </w:pBdr>
        <w:keepNext/>
      </w:pPr>
      <w:r>
        <w:rPr>
          <w:rFonts w:ascii="Times New Roman" w:hAnsi="Times New Roman" w:eastAsia="Times New Roman"/>
          <w:b/>
          <w:i w:val="0"/>
          <w:color w:val="004D56"/>
          <w:sz w:val="24"/>
        </w:rPr>
        <w:t>BAB III - TUGAS, WEWENANG, DAN TATA KERJA PENGURUS</w:t>
      </w:r>
    </w:p>
    <w:p>
      <w:pPr>
        <w:spacing w:before="80" w:after="20" w:line="252" w:lineRule="auto"/>
        <w:keepNext/>
      </w:pPr>
      <w:r>
        <w:rPr>
          <w:rFonts w:ascii="Times New Roman" w:hAnsi="Times New Roman" w:eastAsia="Times New Roman"/>
          <w:b/>
          <w:i w:val="0"/>
          <w:color w:val="004D56"/>
          <w:sz w:val="21"/>
        </w:rPr>
        <w:t>Pasal 6 - Dewan Penasihat</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Memvalidasi Modul KIN-Adaptif agar sesuai dengan prinsip psikologi perkembangan, pendidikan luar biasa, dan kebutuhan ABK.</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Memberikan arahan etik, ilmiah, dan strategis terhadap kebijakan program, pengukuran dampak, serta pengembangan kemitraan.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Mengawasi arah gerak lembaga agar tetap sesuai dengan misi kemanusiaan, asas nondiskriminasi, dan perlindungan penerima manfaat.</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Memberikan pertimbangan terhadap perubahan AD/ART, pengangkatan pengurus strategis, dan keputusan kelembagaan yang berdampak besar.</w:t>
      </w:r>
    </w:p>
    <w:p>
      <w:pPr>
        <w:spacing w:before="80" w:after="20" w:line="252" w:lineRule="auto"/>
        <w:keepNext/>
      </w:pPr>
      <w:r>
        <w:rPr>
          <w:rFonts w:ascii="Times New Roman" w:hAnsi="Times New Roman" w:eastAsia="Times New Roman"/>
          <w:b/>
          <w:i w:val="0"/>
          <w:color w:val="004D56"/>
          <w:sz w:val="21"/>
        </w:rPr>
        <w:t>Pasal 7 - Executive Director</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Merumuskan Rencana Strategis (Renstra), kebijakan makro, dan peta jalan pengembangan KIN secara nasional.</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Memimpin riset konseptual, standardisasi Modul KIN-Adaptif, serta integrasi program pendidikan khusus dengan aksi kemanusiaan.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Menjadi representasi utama lembaga dalam pengesahan Memorandum of Understanding (MoU) dengan mitra pemerintahan, CSR perusahaan, institusi pendidikan, komunitas, dan media massa.</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Menjamin keberlanjutan kelembagaan, membina direktorat, mengambil keputusan eksekutif, dan mengoordinasikan penyusunan Social Impact Audit atau Impact Report.</w:t>
      </w:r>
    </w:p>
    <w:p>
      <w:pPr>
        <w:spacing w:before="80" w:after="20" w:line="252" w:lineRule="auto"/>
        <w:keepNext/>
      </w:pPr>
      <w:r>
        <w:rPr>
          <w:rFonts w:ascii="Times New Roman" w:hAnsi="Times New Roman" w:eastAsia="Times New Roman"/>
          <w:b/>
          <w:i w:val="0"/>
          <w:color w:val="004D56"/>
          <w:sz w:val="21"/>
        </w:rPr>
        <w:t>Pasal 8 - Director of Operations</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Mendesain dan mengeksekusi sistem tata kelola operasional berbasis Hybrid Node di berbagai provinsi.</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Mengelola sistem database terapan untuk rekrutmen, pemetaan relawan, pemantauan kegiatan, logbook digital, dan evaluasi kinerja relawan.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Memimpin pelaksanaan teknis Training of Trainers (ToT), orientasi relawan, dan koordinasi shadow teacher di lapangan.</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Mengeksekusi sistem Monitoring &amp; Evaluation (M&amp;E) berbasis indikator untuk memantau capaian Bina Diri anak dampingan secara berkala.</w:t>
      </w:r>
    </w:p>
    <w:p>
      <w:pPr>
        <w:spacing w:before="80" w:after="20" w:line="252" w:lineRule="auto"/>
        <w:keepNext/>
      </w:pPr>
      <w:r>
        <w:rPr>
          <w:rFonts w:ascii="Times New Roman" w:hAnsi="Times New Roman" w:eastAsia="Times New Roman"/>
          <w:b/>
          <w:i w:val="0"/>
          <w:color w:val="004D56"/>
          <w:sz w:val="21"/>
        </w:rPr>
        <w:t>Pasal 9 - Director of Programs</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Merancang silabus Activity of Daily Living (ADL), pendampingan Bina Diri, kelas keterampilan sosial, dan modul keluarga.</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Menyusun indikator capaian, instrumen evaluasi, serta pedoman adaptasi program sesuai karakteristik peserta dampingan.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Berkoordinasi dengan Director of Operations untuk memastikan rancangan program dapat dijalankan secara realistis, aman, dan terukur.</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Melakukan evaluasi kualitas program dan memberikan rekomendasi penyempurnaan modul secara berkala.</w:t>
      </w:r>
    </w:p>
    <w:p>
      <w:pPr>
        <w:spacing w:before="80" w:after="20" w:line="252" w:lineRule="auto"/>
        <w:keepNext/>
      </w:pPr>
      <w:r>
        <w:rPr>
          <w:rFonts w:ascii="Times New Roman" w:hAnsi="Times New Roman" w:eastAsia="Times New Roman"/>
          <w:b/>
          <w:i w:val="0"/>
          <w:color w:val="004D56"/>
          <w:sz w:val="21"/>
        </w:rPr>
        <w:t>Pasal 10 - Director of Partnership &amp; Public Relations</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Merumuskan strategi sponsorship, pengembangan jaringan, advokasi lintas sektor, dan komunikasi kelembagaan.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Menjembatani kerja sama dengan Dinas Sosial, Dinas Pendidikan, sekolah, komunitas orang tua, organisasi profesi, lembaga donor, dunia usaha, dan media massa.</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Mengelola komunikasi publik, siaran pers, dokumentasi kegiatan, kampanye kesadaran inklusi, serta citra kelembagaan KIN.</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Memastikan seluruh materi publikasi menghormati martabat, privasi, dan persetujuan penerima manfaat.</w:t>
      </w:r>
    </w:p>
    <w:p>
      <w:pPr>
        <w:spacing w:before="80" w:after="20" w:line="252" w:lineRule="auto"/>
        <w:keepNext/>
      </w:pPr>
      <w:r>
        <w:rPr>
          <w:rFonts w:ascii="Times New Roman" w:hAnsi="Times New Roman" w:eastAsia="Times New Roman"/>
          <w:b/>
          <w:i w:val="0"/>
          <w:color w:val="004D56"/>
          <w:sz w:val="21"/>
        </w:rPr>
        <w:t>Pasal 11 - Director of Finance &amp; Administration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Menjamin tata kelola administrasi legal, persuratan resmi, arsip kelembagaan, inventaris, dokumentasi rapat, dan penyimpanan dokumen organisasi.</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Mengelola arus kas, rencana anggaran, bukti transaksi, laporan keuangan internal, serta pertanggungjawaban penggunaan dana.</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Menyusun Impact Report tahunan bersama direktorat terkait sebagai bentuk akuntabilitas publik KIN.</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Menjaga aset, data, dan dokumen organisasi agar tidak disalahgunakan untuk kepentingan pribadi atau pihak yang tidak berwenang.</w:t>
      </w:r>
    </w:p>
    <w:p>
      <w:pPr>
        <w:spacing w:before="160" w:after="80" w:line="252" w:lineRule="auto"/>
        <w:pBdr>
          <w:bottom w:val="single" w:sz="6" w:space="2" w:color="E09F2A"/>
        </w:pBdr>
        <w:keepNext/>
      </w:pPr>
      <w:r>
        <w:rPr>
          <w:rFonts w:ascii="Times New Roman" w:hAnsi="Times New Roman" w:eastAsia="Times New Roman"/>
          <w:b/>
          <w:i w:val="0"/>
          <w:color w:val="004D56"/>
          <w:sz w:val="24"/>
        </w:rPr>
        <w:t>BAB IV - PELAKSANAAN PROGRAM, MONEV, DAN PELAPORAN</w:t>
      </w:r>
    </w:p>
    <w:p>
      <w:pPr>
        <w:spacing w:before="80" w:after="20" w:line="252" w:lineRule="auto"/>
        <w:keepNext/>
      </w:pPr>
      <w:r>
        <w:rPr>
          <w:rFonts w:ascii="Times New Roman" w:hAnsi="Times New Roman" w:eastAsia="Times New Roman"/>
          <w:b/>
          <w:i w:val="0"/>
          <w:color w:val="004D56"/>
          <w:sz w:val="21"/>
        </w:rPr>
        <w:t>Pasal 12 - Pelaksanaan Program</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Setiap program KIN wajib memiliki tujuan, sasaran penerima manfaat, indikator capaian, metode pelaksanaan, rencana risiko, kebutuhan sumber daya, dan mekanisme evaluasi.</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Program yang melibatkan anak wajib mengutamakan keselamatan, kenyamanan, kerahasiaan, persetujuan orang tua/wali, dan kepentingan terbaik anak.</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Setiap kegiatan lapangan wajib dilaksanakan oleh relawan atau pengurus yang telah memperoleh pembekalan dan memahami batas kewenangan pendampingan.</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Program dapat diselenggarakan secara daring, luring, maupun hybrid sesuai kebutuhan peserta dampingan dan kesiapan sumber daya.</w:t>
      </w:r>
    </w:p>
    <w:p>
      <w:pPr>
        <w:spacing w:before="80" w:after="20" w:line="252" w:lineRule="auto"/>
        <w:keepNext/>
      </w:pPr>
      <w:r>
        <w:rPr>
          <w:rFonts w:ascii="Times New Roman" w:hAnsi="Times New Roman" w:eastAsia="Times New Roman"/>
          <w:b/>
          <w:i w:val="0"/>
          <w:color w:val="004D56"/>
          <w:sz w:val="21"/>
        </w:rPr>
        <w:t>Pasal 13 - Monitoring &amp; Evaluation (M&amp;E)</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M&amp;E dilaksanakan untuk mengukur kehadiran, proses kegiatan, capaian pembelajaran, perkembangan ADL, kendala lapangan, serta tindak lanjut yang diperlukan.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Setiap relawan wajib mengisi logbook atau instrumen pelaporan yang ditetapkan Pengurus Pusat.</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Data M&amp;E digunakan untuk peningkatan mutu program, penyusunan laporan dampak, evaluasi kinerja relawan, dan pengambilan keputusan strategis.</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Publikasi data program wajib dilakukan secara agregat, anonim, dan tidak melanggar kerahasiaan penerima manfaat.</w:t>
      </w:r>
    </w:p>
    <w:p>
      <w:pPr>
        <w:spacing w:before="80" w:after="20" w:line="252" w:lineRule="auto"/>
        <w:keepNext/>
      </w:pPr>
      <w:r>
        <w:rPr>
          <w:rFonts w:ascii="Times New Roman" w:hAnsi="Times New Roman" w:eastAsia="Times New Roman"/>
          <w:b/>
          <w:i w:val="0"/>
          <w:color w:val="004D56"/>
          <w:sz w:val="21"/>
        </w:rPr>
        <w:t>Pasal 14 - Pelaporan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Laporan operasional disampaikan oleh Director of Operations kepada Executive Director secara berkala.</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Laporan program disampaikan oleh Director of Programs kepada Executive Director sesuai siklus kegiatan.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Laporan kemitraan dan komunikasi publik disampaikan oleh Director of Partnership &amp; PR secara berkala.</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Laporan keuangan dan administrasi disampaikan oleh Director of Finance &amp; Administration secara kuartalan atau sesuai kebutuhan audit internal.</w:t>
      </w:r>
    </w:p>
    <w:p>
      <w:pPr>
        <w:spacing w:before="0" w:after="40" w:line="257" w:lineRule="auto"/>
        <w:ind w:left="312" w:hanging="198"/>
        <w:jc w:val="both"/>
      </w:pPr>
      <w:r>
        <w:rPr>
          <w:rFonts w:ascii="Times New Roman" w:hAnsi="Times New Roman" w:eastAsia="Times New Roman"/>
          <w:b/>
          <w:i w:val="0"/>
          <w:color w:val="004D56"/>
          <w:sz w:val="20"/>
        </w:rPr>
        <w:t xml:space="preserve">5. </w:t>
      </w:r>
      <w:r>
        <w:rPr>
          <w:rFonts w:ascii="Times New Roman" w:hAnsi="Times New Roman" w:eastAsia="Times New Roman"/>
          <w:b w:val="0"/>
          <w:i w:val="0"/>
          <w:color w:val="172B33"/>
          <w:sz w:val="20"/>
        </w:rPr>
        <w:t>Impact Report tahunan disusun sebagai dokumen akuntabilitas publik dan disahkan oleh Executive Director dengan sepengetahuan Dewan Penasihat.</w:t>
      </w:r>
    </w:p>
    <w:p>
      <w:pPr>
        <w:spacing w:before="160" w:after="80" w:line="252" w:lineRule="auto"/>
        <w:pBdr>
          <w:bottom w:val="single" w:sz="6" w:space="2" w:color="E09F2A"/>
        </w:pBdr>
        <w:keepNext/>
      </w:pPr>
      <w:r>
        <w:rPr>
          <w:rFonts w:ascii="Times New Roman" w:hAnsi="Times New Roman" w:eastAsia="Times New Roman"/>
          <w:b/>
          <w:i w:val="0"/>
          <w:color w:val="004D56"/>
          <w:sz w:val="24"/>
        </w:rPr>
        <w:t>BAB V - RAPAT DAN PENGAMBILAN KEPUTUSAN</w:t>
      </w:r>
    </w:p>
    <w:p>
      <w:pPr>
        <w:spacing w:before="80" w:after="20" w:line="252" w:lineRule="auto"/>
        <w:keepNext/>
      </w:pPr>
      <w:r>
        <w:rPr>
          <w:rFonts w:ascii="Times New Roman" w:hAnsi="Times New Roman" w:eastAsia="Times New Roman"/>
          <w:b/>
          <w:i w:val="0"/>
          <w:color w:val="004D56"/>
          <w:sz w:val="21"/>
        </w:rPr>
        <w:t>Pasal 15 - Jenis Rapat</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Rapat Pleno Tahunan diadakan sekurang-kurangnya satu kali dalam setahun untuk mengevaluasi program kerja, laporan keuangan, dan Impact Report.</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Rapat Koordinasi Operasional dipimpin oleh Director of Operations secara berkala untuk mengevaluasi laporan lapangan, relawan, dan Hybrid Node.</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Rapat Direktorat dilaksanakan oleh masing-masing direktorat sesuai kebutuhan program dan target kerja.</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Rapat Pleno Istimewa dapat diselenggarakan untuk membahas perubahan AD/ART, pengangkatan pengurus strategis, pembubaran lembaga, atau keputusan mendesak lainnya.</w:t>
      </w:r>
    </w:p>
    <w:p>
      <w:pPr>
        <w:spacing w:before="80" w:after="20" w:line="252" w:lineRule="auto"/>
        <w:keepNext/>
      </w:pPr>
      <w:r>
        <w:rPr>
          <w:rFonts w:ascii="Times New Roman" w:hAnsi="Times New Roman" w:eastAsia="Times New Roman"/>
          <w:b/>
          <w:i w:val="0"/>
          <w:color w:val="004D56"/>
          <w:sz w:val="21"/>
        </w:rPr>
        <w:t>Pasal 16 - Pengambilan Keputusan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Pengambilan keputusan dilakukan melalui musyawarah mufakat dengan mengutamakan kepentingan lembaga dan penerima manfaat.</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Apabila musyawarah mufakat tidak tercapai, keputusan dapat diambil melalui suara terbanyak berdasarkan peserta rapat yang berhak mengambil keputusan.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Keputusan strategis yang menyangkut perubahan AD/ART, pembubaran lembaga, atau arah program besar wajib memperoleh persetujuan Dewan Penasihat.</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Setiap keputusan resmi wajib dicatat dalam notulen, berita acara, keputusan pengurus, atau dokumen administratif yang sah.</w:t>
      </w:r>
    </w:p>
    <w:p>
      <w:pPr>
        <w:spacing w:before="160" w:after="80" w:line="252" w:lineRule="auto"/>
        <w:pBdr>
          <w:bottom w:val="single" w:sz="6" w:space="2" w:color="E09F2A"/>
        </w:pBdr>
        <w:keepNext/>
      </w:pPr>
      <w:r>
        <w:rPr>
          <w:rFonts w:ascii="Times New Roman" w:hAnsi="Times New Roman" w:eastAsia="Times New Roman"/>
          <w:b/>
          <w:i w:val="0"/>
          <w:color w:val="004D56"/>
          <w:sz w:val="24"/>
        </w:rPr>
        <w:t>BAB VI - TATA KELOLA KEUANGAN DAN ADMINISTRASI</w:t>
      </w:r>
    </w:p>
    <w:p>
      <w:pPr>
        <w:spacing w:before="80" w:after="20" w:line="252" w:lineRule="auto"/>
        <w:keepNext/>
      </w:pPr>
      <w:r>
        <w:rPr>
          <w:rFonts w:ascii="Times New Roman" w:hAnsi="Times New Roman" w:eastAsia="Times New Roman"/>
          <w:b/>
          <w:i w:val="0"/>
          <w:color w:val="004D56"/>
          <w:sz w:val="21"/>
        </w:rPr>
        <w:t>Pasal 17 - Prinsip Keuangan</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Keuangan KIN dikelola berdasarkan prinsip transparansi, akuntabilitas, efisiensi, integritas, kehati-hatian, dan keberpihakan pada tujuan sosial-kemanusiaan.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Setiap penerimaan dan pengeluaran dana wajib memiliki catatan, bukti transaksi, dan otorisasi sesuai mekanisme internal.</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Dana lembaga tidak boleh digunakan untuk kepentingan pribadi, politik praktis, tindakan yang melanggar hukum, atau kegiatan yang bertentangan dengan nilai lembaga.</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Pengurus yang mengelola dana wajib melaporkan penggunaan dana secara periodik kepada Executive Director dan, apabila diperlukan, kepada Dewan Penasihat.</w:t>
      </w:r>
    </w:p>
    <w:p>
      <w:pPr>
        <w:spacing w:before="80" w:after="20" w:line="252" w:lineRule="auto"/>
        <w:keepNext/>
      </w:pPr>
      <w:r>
        <w:rPr>
          <w:rFonts w:ascii="Times New Roman" w:hAnsi="Times New Roman" w:eastAsia="Times New Roman"/>
          <w:b/>
          <w:i w:val="0"/>
          <w:color w:val="004D56"/>
          <w:sz w:val="21"/>
        </w:rPr>
        <w:t>Pasal 18 - Tata Naskah dan Arsip</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Setiap dokumen resmi KIN wajib menggunakan kop lembaga, nomor dokumen, tanggal, judul, dan pejabat penandatangan yang jelas.</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Arsip organisasi meliputi AD/ART, SK, MoU, notulen rapat, laporan program, laporan keuangan, database relawan, logbook, dan dokumen lain yang relevan.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Akses terhadap arsip dan database dilakukan secara terbatas sesuai kebutuhan tugas, kerahasiaan, dan perlindungan data.</w:t>
      </w:r>
    </w:p>
    <w:p>
      <w:pPr>
        <w:spacing w:before="160" w:after="80" w:line="252" w:lineRule="auto"/>
        <w:pBdr>
          <w:bottom w:val="single" w:sz="6" w:space="2" w:color="E09F2A"/>
        </w:pBdr>
        <w:keepNext/>
      </w:pPr>
      <w:r>
        <w:rPr>
          <w:rFonts w:ascii="Times New Roman" w:hAnsi="Times New Roman" w:eastAsia="Times New Roman"/>
          <w:b/>
          <w:i w:val="0"/>
          <w:color w:val="004D56"/>
          <w:sz w:val="24"/>
        </w:rPr>
        <w:t>BAB VII - KODE ETIK, PERLINDUNGAN ANAK, DAN DATA</w:t>
      </w:r>
    </w:p>
    <w:p>
      <w:pPr>
        <w:spacing w:before="80" w:after="20" w:line="252" w:lineRule="auto"/>
        <w:keepNext/>
      </w:pPr>
      <w:r>
        <w:rPr>
          <w:rFonts w:ascii="Times New Roman" w:hAnsi="Times New Roman" w:eastAsia="Times New Roman"/>
          <w:b/>
          <w:i w:val="0"/>
          <w:color w:val="004D56"/>
          <w:sz w:val="21"/>
        </w:rPr>
        <w:t>Pasal 19 - Kode Etik Umum</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Setiap pengurus dan relawan wajib menjunjung tinggi martabat, keselamatan, kerahasiaan, dan kepentingan terbaik ABK serta keluarga yang didampingi.</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Pengurus dan relawan dilarang melakukan diskriminasi, eksploitasi, perundungan, kekerasan verbal, kekerasan fisik, pelecehan, manipulasi, atau penyalahgunaan posisi.</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Pengurus dan relawan wajib menjaga nama baik lembaga, menghindari konflik kepentingan, serta melaporkan pelanggaran etik atau risiko keselamatan kepada pihak yang berwenang di internal KIN.</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Pelanggaran kode etik dapat dikenai teguran, pembinaan, pembatasan tugas, pemberhentian status relawan/pengurus, atau tindakan lain sesuai tingkat pelanggaran.</w:t>
      </w:r>
    </w:p>
    <w:p>
      <w:pPr>
        <w:spacing w:before="80" w:after="20" w:line="252" w:lineRule="auto"/>
        <w:keepNext/>
      </w:pPr>
      <w:r>
        <w:rPr>
          <w:rFonts w:ascii="Times New Roman" w:hAnsi="Times New Roman" w:eastAsia="Times New Roman"/>
          <w:b/>
          <w:i w:val="0"/>
          <w:color w:val="004D56"/>
          <w:sz w:val="21"/>
        </w:rPr>
        <w:t>Pasal 20 - Perlindungan Anak dan Privasi Data</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Setiap kegiatan yang melibatkan anak wajib memperoleh persetujuan orang tua/wali sesuai kebutuhan program.</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Dokumentasi foto, video, testimoni, dan data pribadi penerima manfaat hanya dapat digunakan untuk kepentingan program atau publikasi resmi setelah memperhatikan persetujuan, etika, dan perlindungan privasi.</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Data penerima manfaat, keluarga, relawan, dan mitra tidak boleh disebarluaskan kepada pihak yang tidak berwenang.</w:t>
      </w:r>
    </w:p>
    <w:p>
      <w:pPr>
        <w:spacing w:before="0" w:after="40" w:line="257" w:lineRule="auto"/>
        <w:ind w:left="312" w:hanging="198"/>
        <w:jc w:val="both"/>
      </w:pPr>
      <w:r>
        <w:rPr>
          <w:rFonts w:ascii="Times New Roman" w:hAnsi="Times New Roman" w:eastAsia="Times New Roman"/>
          <w:b/>
          <w:i w:val="0"/>
          <w:color w:val="004D56"/>
          <w:sz w:val="20"/>
        </w:rPr>
        <w:t xml:space="preserve">4. </w:t>
      </w:r>
      <w:r>
        <w:rPr>
          <w:rFonts w:ascii="Times New Roman" w:hAnsi="Times New Roman" w:eastAsia="Times New Roman"/>
          <w:b w:val="0"/>
          <w:i w:val="0"/>
          <w:color w:val="172B33"/>
          <w:sz w:val="20"/>
        </w:rPr>
        <w:t>Pengurus wajib menerapkan prinsip minimalisasi data, keamanan penyimpanan, pembatasan akses, dan penggunaan data hanya untuk tujuan program.</w:t>
      </w:r>
    </w:p>
    <w:p>
      <w:pPr>
        <w:spacing w:before="160" w:after="80" w:line="252" w:lineRule="auto"/>
        <w:pBdr>
          <w:bottom w:val="single" w:sz="6" w:space="2" w:color="E09F2A"/>
        </w:pBdr>
        <w:keepNext/>
      </w:pPr>
      <w:r>
        <w:rPr>
          <w:rFonts w:ascii="Times New Roman" w:hAnsi="Times New Roman" w:eastAsia="Times New Roman"/>
          <w:b/>
          <w:i w:val="0"/>
          <w:color w:val="004D56"/>
          <w:sz w:val="24"/>
        </w:rPr>
        <w:t>BAB VIII - KETENTUAN TAMBAHAN DAN PENUTUP</w:t>
      </w:r>
    </w:p>
    <w:p>
      <w:pPr>
        <w:spacing w:before="80" w:after="20" w:line="252" w:lineRule="auto"/>
        <w:keepNext/>
      </w:pPr>
      <w:r>
        <w:rPr>
          <w:rFonts w:ascii="Times New Roman" w:hAnsi="Times New Roman" w:eastAsia="Times New Roman"/>
          <w:b/>
          <w:i w:val="0"/>
          <w:color w:val="004D56"/>
          <w:sz w:val="21"/>
        </w:rPr>
        <w:t>Pasal 21 - Standard Operating Procedure (SOP)</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Hal-hal teknis yang belum diatur dalam ART ini akan diatur kemudian dalam SOP, pedoman program, pedoman relawan, pedoman M&amp;E, pedoman publikasi, atau keputusan Pengurus Pusat.</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SOP disusun oleh direktorat terkait dan disahkan oleh Executive Director bersama Director of Operations dengan memperhatikan arahan Dewan Penasihat apabila diperlukan.</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SOP tidak boleh bertentangan dengan AD/ART dan nilai dasar KIN.</w:t>
      </w:r>
    </w:p>
    <w:p>
      <w:pPr>
        <w:spacing w:before="80" w:after="20" w:line="252" w:lineRule="auto"/>
        <w:keepNext/>
      </w:pPr>
      <w:r>
        <w:rPr>
          <w:rFonts w:ascii="Times New Roman" w:hAnsi="Times New Roman" w:eastAsia="Times New Roman"/>
          <w:b/>
          <w:i w:val="0"/>
          <w:color w:val="004D56"/>
          <w:sz w:val="21"/>
        </w:rPr>
        <w:t>Pasal 22 - Ketentuan Penutup ART</w:t>
      </w:r>
    </w:p>
    <w:p>
      <w:pPr>
        <w:spacing w:before="0" w:after="40" w:line="257" w:lineRule="auto"/>
        <w:ind w:left="312" w:hanging="198"/>
        <w:jc w:val="both"/>
      </w:pPr>
      <w:r>
        <w:rPr>
          <w:rFonts w:ascii="Times New Roman" w:hAnsi="Times New Roman" w:eastAsia="Times New Roman"/>
          <w:b/>
          <w:i w:val="0"/>
          <w:color w:val="004D56"/>
          <w:sz w:val="20"/>
        </w:rPr>
        <w:t xml:space="preserve">1. </w:t>
      </w:r>
      <w:r>
        <w:rPr>
          <w:rFonts w:ascii="Times New Roman" w:hAnsi="Times New Roman" w:eastAsia="Times New Roman"/>
          <w:b w:val="0"/>
          <w:i w:val="0"/>
          <w:color w:val="172B33"/>
          <w:sz w:val="20"/>
        </w:rPr>
        <w:t>Anggaran Rumah Tangga ini disahkan dan mulai berlaku sejak tanggal ditetapkan.</w:t>
      </w:r>
    </w:p>
    <w:p>
      <w:pPr>
        <w:spacing w:before="0" w:after="40" w:line="257" w:lineRule="auto"/>
        <w:ind w:left="312" w:hanging="198"/>
        <w:jc w:val="both"/>
      </w:pPr>
      <w:r>
        <w:rPr>
          <w:rFonts w:ascii="Times New Roman" w:hAnsi="Times New Roman" w:eastAsia="Times New Roman"/>
          <w:b/>
          <w:i w:val="0"/>
          <w:color w:val="004D56"/>
          <w:sz w:val="20"/>
        </w:rPr>
        <w:t xml:space="preserve">2. </w:t>
      </w:r>
      <w:r>
        <w:rPr>
          <w:rFonts w:ascii="Times New Roman" w:hAnsi="Times New Roman" w:eastAsia="Times New Roman"/>
          <w:b w:val="0"/>
          <w:i w:val="0"/>
          <w:color w:val="172B33"/>
          <w:sz w:val="20"/>
        </w:rPr>
        <w:t>Apabila terdapat kekeliruan atau kebutuhan penyempurnaan, ART ini dapat ditinjau kembali melalui mekanisme perubahan yang sah.</w:t>
      </w:r>
    </w:p>
    <w:p>
      <w:pPr>
        <w:spacing w:before="0" w:after="40" w:line="257" w:lineRule="auto"/>
        <w:ind w:left="312" w:hanging="198"/>
        <w:jc w:val="both"/>
      </w:pPr>
      <w:r>
        <w:rPr>
          <w:rFonts w:ascii="Times New Roman" w:hAnsi="Times New Roman" w:eastAsia="Times New Roman"/>
          <w:b/>
          <w:i w:val="0"/>
          <w:color w:val="004D56"/>
          <w:sz w:val="20"/>
        </w:rPr>
        <w:t xml:space="preserve">3. </w:t>
      </w:r>
      <w:r>
        <w:rPr>
          <w:rFonts w:ascii="Times New Roman" w:hAnsi="Times New Roman" w:eastAsia="Times New Roman"/>
          <w:b w:val="0"/>
          <w:i w:val="0"/>
          <w:color w:val="172B33"/>
          <w:sz w:val="20"/>
        </w:rPr>
        <w:t>Dengan ditetapkannya ART ini, seluruh pengurus, relawan, dan unsur organisasi wajib menjadikannya sebagai pedoman dalam menjalankan tugas kelembagaan KIN.</w:t>
      </w:r>
    </w:p>
    <w:p>
      <w:r>
        <w:br w:type="page"/>
      </w:r>
    </w:p>
    <w:p>
      <w:pPr>
        <w:spacing w:before="60" w:after="40"/>
        <w:jc w:val="center"/>
        <w:pBdr>
          <w:bottom w:val="single" w:sz="8" w:space="3" w:color="E09F2A"/>
        </w:pBdr>
      </w:pPr>
      <w:r>
        <w:rPr>
          <w:rFonts w:ascii="Times New Roman" w:hAnsi="Times New Roman" w:eastAsia="Times New Roman"/>
          <w:b/>
          <w:i w:val="0"/>
          <w:color w:val="004D56"/>
          <w:sz w:val="30"/>
        </w:rPr>
        <w:t>LEMBAR PENGESAHAN</w:t>
      </w:r>
    </w:p>
    <w:p>
      <w:pPr>
        <w:spacing w:before="0" w:after="160" w:line="269" w:lineRule="auto"/>
        <w:jc w:val="both"/>
      </w:pPr>
      <w:r>
        <w:rPr>
          <w:rFonts w:ascii="Times New Roman" w:hAnsi="Times New Roman" w:eastAsia="Times New Roman"/>
          <w:b w:val="0"/>
          <w:i w:val="0"/>
          <w:color w:val="172B33"/>
          <w:sz w:val="21"/>
        </w:rPr>
        <w:t>Dokumen Anggaran Dasar dan Anggaran Rumah Tangga (AD/ART) Karsa Inklusi Nusantara (KIN) ini dirumuskan, disepakati, dan ditetapkan sebagai landasan konstitusional, tata kelola, serta pedoman operasional resmi bagi seluruh unsur lembaga.</w:t>
      </w:r>
    </w:p>
    <w:p>
      <w:pPr>
        <w:spacing w:before="0" w:after="240" w:line="264" w:lineRule="auto"/>
        <w:jc w:val="right"/>
      </w:pPr>
      <w:r>
        <w:rPr>
          <w:rFonts w:ascii="Times New Roman" w:hAnsi="Times New Roman" w:eastAsia="Times New Roman"/>
          <w:b w:val="0"/>
          <w:i w:val="0"/>
          <w:color w:val="172B33"/>
          <w:sz w:val="21"/>
        </w:rPr>
        <w:t>Ditetapkan di : Palembang</w:t>
        <w:br/>
        <w:t>Pada tanggal : 11 Mei 2026</w:t>
      </w:r>
    </w:p>
    <w:tbl>
      <w:tblPr>
        <w:tblW w:type="auto" w:w="0"/>
        <w:jc w:val="center"/>
        <w:tblLook w:firstColumn="1" w:firstRow="1" w:lastColumn="0" w:lastRow="0" w:noHBand="0" w:noVBand="1" w:val="04A0"/>
      </w:tblPr>
      <w:tblGrid>
        <w:gridCol w:w="3211"/>
        <w:gridCol w:w="3211"/>
        <w:gridCol w:w="3211"/>
      </w:tblGrid>
      <w:tr>
        <w:tc>
          <w:tcPr>
            <w:tcW w:type="dxa" w:w="2948"/>
            <w:tcBorders>
              <w:top w:val="nil"/>
              <w:bottom w:val="nil"/>
              <w:left w:val="nil"/>
              <w:right w:val="nil"/>
              <w:insideH w:val="nil"/>
              <w:insideV w:val="nil"/>
            </w:tcBorders>
            <w:vAlign w:val="top"/>
          </w:tcPr>
          <w:p>
            <w:pPr>
              <w:spacing w:before="0" w:after="60" w:line="240" w:lineRule="auto"/>
              <w:jc w:val="center"/>
            </w:pPr>
            <w:r>
              <w:rPr>
                <w:rFonts w:ascii="Times New Roman" w:hAnsi="Times New Roman" w:eastAsia="Times New Roman"/>
                <w:b/>
                <w:i w:val="0"/>
                <w:color w:val="004D56"/>
                <w:sz w:val="18"/>
              </w:rPr>
              <w:t>PENGURUS PUSAT</w:t>
              <w:br/>
              <w:t>KARSA INKLUSI NUSANTARA</w:t>
            </w:r>
          </w:p>
          <w:p>
            <w:pPr>
              <w:spacing w:after="560"/>
              <w:jc w:val="center"/>
            </w:pPr>
            <w:r>
              <w:rPr>
                <w:rFonts w:ascii="Times New Roman" w:hAnsi="Times New Roman" w:eastAsia="Times New Roman"/>
                <w:b w:val="0"/>
                <w:i/>
                <w:color w:val="697177"/>
                <w:sz w:val="17"/>
              </w:rPr>
              <w:t>(Tanda Tangan &amp; Stempel)</w:t>
            </w:r>
          </w:p>
          <w:p>
            <w:pPr>
              <w:spacing w:before="0" w:after="20" w:line="240" w:lineRule="auto"/>
              <w:jc w:val="center"/>
            </w:pPr>
            <w:r>
              <w:rPr>
                <w:rFonts w:ascii="Times New Roman" w:hAnsi="Times New Roman" w:eastAsia="Times New Roman"/>
                <w:b/>
                <w:i w:val="0"/>
                <w:color w:val="172B33"/>
                <w:sz w:val="19"/>
              </w:rPr>
              <w:t>Zelka Dapala</w:t>
            </w:r>
          </w:p>
          <w:p>
            <w:pPr>
              <w:spacing w:before="0" w:after="0" w:line="240" w:lineRule="auto"/>
              <w:jc w:val="center"/>
            </w:pPr>
            <w:r>
              <w:rPr>
                <w:rFonts w:ascii="Times New Roman" w:hAnsi="Times New Roman" w:eastAsia="Times New Roman"/>
                <w:b w:val="0"/>
                <w:i w:val="0"/>
                <w:color w:val="697177"/>
                <w:sz w:val="17"/>
              </w:rPr>
              <w:t>Executive Director</w:t>
            </w:r>
          </w:p>
        </w:tc>
        <w:tc>
          <w:tcPr>
            <w:tcW w:type="dxa" w:w="2948"/>
            <w:tcBorders>
              <w:top w:val="nil"/>
              <w:bottom w:val="nil"/>
              <w:left w:val="nil"/>
              <w:right w:val="nil"/>
              <w:insideH w:val="nil"/>
              <w:insideV w:val="nil"/>
            </w:tcBorders>
            <w:vAlign w:val="top"/>
          </w:tcPr>
          <w:p>
            <w:pPr>
              <w:spacing w:before="0" w:after="60" w:line="240" w:lineRule="auto"/>
              <w:jc w:val="center"/>
            </w:pPr>
            <w:r>
              <w:rPr>
                <w:rFonts w:ascii="Times New Roman" w:hAnsi="Times New Roman" w:eastAsia="Times New Roman"/>
                <w:b/>
                <w:i w:val="0"/>
                <w:color w:val="004D56"/>
                <w:sz w:val="18"/>
              </w:rPr>
              <w:t>PENGURUS PUSAT</w:t>
              <w:br/>
              <w:t>KARSA INKLUSI NUSANTARA</w:t>
            </w:r>
          </w:p>
          <w:p>
            <w:pPr>
              <w:spacing w:after="560"/>
              <w:jc w:val="center"/>
            </w:pPr>
            <w:r>
              <w:rPr>
                <w:rFonts w:ascii="Times New Roman" w:hAnsi="Times New Roman" w:eastAsia="Times New Roman"/>
                <w:b w:val="0"/>
                <w:i/>
                <w:color w:val="697177"/>
                <w:sz w:val="17"/>
              </w:rPr>
              <w:t>(Tanda Tangan &amp; Stempel)</w:t>
            </w:r>
          </w:p>
          <w:p>
            <w:pPr>
              <w:spacing w:before="0" w:after="20" w:line="240" w:lineRule="auto"/>
              <w:jc w:val="center"/>
            </w:pPr>
            <w:r>
              <w:rPr>
                <w:rFonts w:ascii="Times New Roman" w:hAnsi="Times New Roman" w:eastAsia="Times New Roman"/>
                <w:b/>
                <w:i w:val="0"/>
                <w:color w:val="172B33"/>
                <w:sz w:val="19"/>
              </w:rPr>
              <w:t>Dwi Valinia Ivanka</w:t>
            </w:r>
          </w:p>
          <w:p>
            <w:pPr>
              <w:spacing w:before="0" w:after="0" w:line="240" w:lineRule="auto"/>
              <w:jc w:val="center"/>
            </w:pPr>
            <w:r>
              <w:rPr>
                <w:rFonts w:ascii="Times New Roman" w:hAnsi="Times New Roman" w:eastAsia="Times New Roman"/>
                <w:b w:val="0"/>
                <w:i w:val="0"/>
                <w:color w:val="697177"/>
                <w:sz w:val="17"/>
              </w:rPr>
              <w:t>Director of Operations</w:t>
            </w:r>
          </w:p>
        </w:tc>
        <w:tc>
          <w:tcPr>
            <w:tcW w:type="dxa" w:w="2948"/>
            <w:tcBorders>
              <w:top w:val="nil"/>
              <w:bottom w:val="nil"/>
              <w:left w:val="nil"/>
              <w:right w:val="nil"/>
              <w:insideH w:val="nil"/>
              <w:insideV w:val="nil"/>
            </w:tcBorders>
            <w:vAlign w:val="top"/>
          </w:tcPr>
          <w:p>
            <w:pPr>
              <w:spacing w:before="0" w:after="60" w:line="240" w:lineRule="auto"/>
              <w:jc w:val="center"/>
            </w:pPr>
            <w:r>
              <w:rPr>
                <w:rFonts w:ascii="Times New Roman" w:hAnsi="Times New Roman" w:eastAsia="Times New Roman"/>
                <w:b/>
                <w:i w:val="0"/>
                <w:color w:val="004D56"/>
                <w:sz w:val="18"/>
              </w:rPr>
              <w:t>MENGETAHUI/MENGESAHKAN</w:t>
            </w:r>
          </w:p>
          <w:p>
            <w:pPr>
              <w:spacing w:after="560"/>
              <w:jc w:val="center"/>
            </w:pPr>
            <w:r>
              <w:rPr>
                <w:rFonts w:ascii="Times New Roman" w:hAnsi="Times New Roman" w:eastAsia="Times New Roman"/>
                <w:b w:val="0"/>
                <w:i/>
                <w:color w:val="697177"/>
                <w:sz w:val="17"/>
              </w:rPr>
              <w:t>(Tanda Tangan &amp; Stempel)</w:t>
            </w:r>
          </w:p>
          <w:p>
            <w:pPr>
              <w:spacing w:before="0" w:after="20" w:line="240" w:lineRule="auto"/>
              <w:jc w:val="center"/>
            </w:pPr>
            <w:r>
              <w:rPr>
                <w:rFonts w:ascii="Times New Roman" w:hAnsi="Times New Roman" w:eastAsia="Times New Roman"/>
                <w:b/>
                <w:i w:val="0"/>
                <w:color w:val="172B33"/>
                <w:sz w:val="19"/>
              </w:rPr>
              <w:t>Dr. Arya Wibowo, S.Pd., M.Pd.</w:t>
            </w:r>
          </w:p>
          <w:p>
            <w:pPr>
              <w:spacing w:before="0" w:after="0" w:line="240" w:lineRule="auto"/>
              <w:jc w:val="center"/>
            </w:pPr>
            <w:r>
              <w:rPr>
                <w:rFonts w:ascii="Times New Roman" w:hAnsi="Times New Roman" w:eastAsia="Times New Roman"/>
                <w:b w:val="0"/>
                <w:i w:val="0"/>
                <w:color w:val="697177"/>
                <w:sz w:val="17"/>
              </w:rPr>
              <w:t>Ketua Dewan Penasihat</w:t>
            </w:r>
          </w:p>
        </w:tc>
      </w:tr>
    </w:tbl>
    <w:sectPr w:rsidR="00FC693F" w:rsidRPr="0006063C" w:rsidSect="00034616">
      <w:headerReference w:type="default" r:id="rId10"/>
      <w:footerReference w:type="default" r:id="rId11"/>
      <w:pgSz w:w="12240" w:h="15840"/>
      <w:pgMar w:top="1077" w:right="1276" w:bottom="935" w:left="1332" w:header="408" w:footer="408"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Times New Roman" w:hAnsi="Times New Roman" w:eastAsia="Times New Roman"/>
        <w:b w:val="0"/>
        <w:i w:val="0"/>
        <w:color w:val="697177"/>
        <w:sz w:val="15"/>
      </w:rPr>
      <w:t>Dokumen kelembagaan resmi - Karsa Inklusi Nusantara (KIN)</w:t>
    </w:r>
  </w:p>
  <w:p>
    <w:pPr>
      <w:jc w:val="right"/>
    </w:pPr>
    <w:r>
      <w:rPr>
        <w:color w:val="697177"/>
        <w:sz w:val="16"/>
      </w:rPr>
      <w:t xml:space="preserve">Halaman </w:t>
      <w:fldChar w:fldCharType="begin"/>
      <w:instrText xml:space="preserve">PAGE</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jc w:val="left"/>
      <w:pBdr>
        <w:bottom w:val="single" w:sz="4" w:space="2" w:color="D8E4E5"/>
      </w:pBdr>
    </w:pPr>
    <w:r>
      <w:drawing>
        <wp:inline xmlns:a="http://schemas.openxmlformats.org/drawingml/2006/main" xmlns:pic="http://schemas.openxmlformats.org/drawingml/2006/picture">
          <wp:extent cx="503999" cy="274886"/>
          <wp:docPr id="1" name="Picture 1"/>
          <wp:cNvGraphicFramePr>
            <a:graphicFrameLocks noChangeAspect="1"/>
          </wp:cNvGraphicFramePr>
          <a:graphic>
            <a:graphicData uri="http://schemas.openxmlformats.org/drawingml/2006/picture">
              <pic:pic>
                <pic:nvPicPr>
                  <pic:cNvPr id="0" name="logo KIN(1).png"/>
                  <pic:cNvPicPr/>
                </pic:nvPicPr>
                <pic:blipFill>
                  <a:blip r:embed="rId1"/>
                  <a:stretch>
                    <a:fillRect/>
                  </a:stretch>
                </pic:blipFill>
                <pic:spPr>
                  <a:xfrm>
                    <a:off x="0" y="0"/>
                    <a:ext cx="503999" cy="274886"/>
                  </a:xfrm>
                  <a:prstGeom prst="rect"/>
                </pic:spPr>
              </pic:pic>
            </a:graphicData>
          </a:graphic>
        </wp:inline>
      </w:drawing>
    </w:r>
    <w:r>
      <w:t xml:space="preserve">  </w:t>
    </w:r>
    <w:r>
      <w:rPr>
        <w:rFonts w:ascii="Times New Roman" w:hAnsi="Times New Roman" w:eastAsia="Times New Roman"/>
        <w:b w:val="0"/>
        <w:i w:val="0"/>
        <w:color w:val="697177"/>
        <w:sz w:val="15"/>
      </w:rPr>
      <w:t>KARSA INKLUSI NUSANTARA (KIN) | AD/ART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Times New Roman"/>
      <w:color w:val="172B33"/>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 ART Karsa Inklusi Nusantara (KIN)</dc:title>
  <dc:subject>Anggaran Dasar dan Anggaran Rumah Tangga Lembaga Kemanusiaan Karsa Inklusi Nusantara</dc:subject>
  <dc:creator>Karsa Inklusi Nusantara (KIN)</dc:creator>
  <cp:keywords/>
  <dc:description>Final formatted AD/ART document.</dc:description>
  <cp:lastModifiedBy/>
  <cp:revision>1</cp:revision>
  <dcterms:created xsi:type="dcterms:W3CDTF">2013-12-23T23:15:00Z</dcterms:created>
  <dcterms:modified xsi:type="dcterms:W3CDTF">2013-12-23T23:15:00Z</dcterms:modified>
  <cp:category/>
</cp:coreProperties>
</file>